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widowControl/>
        <w:wordWrap w:val="0"/>
        <w:spacing w:line="480" w:lineRule="exact"/>
        <w:jc w:val="center"/>
        <w:rPr>
          <w:rFonts w:ascii="方正小标宋简体" w:hAnsi="方正小标宋简体" w:eastAsia="方正小标宋简体" w:cs="宋体"/>
          <w:b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sz w:val="44"/>
          <w:szCs w:val="44"/>
        </w:rPr>
        <w:t>青岛市终身教育课程选材参考指南</w:t>
      </w:r>
      <w:bookmarkEnd w:id="0"/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6"/>
        <w:gridCol w:w="5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666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32"/>
              </w:rPr>
              <w:t>课程系列</w:t>
            </w: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b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Cs w:val="32"/>
              </w:rPr>
              <w:t>课程类别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restart"/>
            <w:tcBorders>
              <w:top w:val="single" w:color="636A84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休闲与情趣</w:t>
            </w: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养生保健类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休闲技艺类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生活环境类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收藏品鉴类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restart"/>
            <w:tcBorders>
              <w:top w:val="single" w:color="636A84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家庭与生活</w:t>
            </w: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家庭安全类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家庭教育类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家庭理财类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法律维权类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restart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文化与素养</w:t>
            </w: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道德修养类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科学素养类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公民意识类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文化涵养类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restart"/>
            <w:tcBorders>
              <w:top w:val="single" w:color="636A84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职业与技能</w:t>
            </w: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职业发展类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语言文字类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信息技术类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66" w:type="dxa"/>
            <w:vMerge w:val="continue"/>
            <w:tcBorders>
              <w:top w:val="single" w:color="auto" w:sz="4" w:space="0"/>
              <w:left w:val="single" w:color="636A84" w:sz="4" w:space="0"/>
              <w:bottom w:val="single" w:color="auto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</w:p>
        </w:tc>
        <w:tc>
          <w:tcPr>
            <w:tcW w:w="5442" w:type="dxa"/>
            <w:tcBorders>
              <w:top w:val="single" w:color="636A84" w:sz="4" w:space="0"/>
              <w:left w:val="single" w:color="636A84" w:sz="4" w:space="0"/>
              <w:bottom w:val="single" w:color="636A84" w:sz="4" w:space="0"/>
              <w:right w:val="single" w:color="636A84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32"/>
              </w:rPr>
              <w:t>就业指导类</w:t>
            </w:r>
          </w:p>
        </w:tc>
      </w:tr>
    </w:tbl>
    <w:p>
      <w:pPr>
        <w:widowControl/>
        <w:wordWrap w:val="0"/>
        <w:spacing w:line="480" w:lineRule="exact"/>
        <w:jc w:val="left"/>
        <w:rPr>
          <w:rFonts w:ascii="仿宋" w:hAnsi="仿宋" w:eastAsia="仿宋" w:cs="宋体"/>
          <w:color w:val="333333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32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eastAsia="楷体_GB2312"/>
      <w:spacing w:val="8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2017-04-24T05:07:49Z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