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ascii="Times New Roman" w:hAnsi="Times New Roman" w:eastAsia="黑体" w:cs="Times New Roman"/>
          <w:color w:val="auto"/>
          <w:sz w:val="30"/>
          <w:szCs w:val="30"/>
        </w:rPr>
        <w:t>附件1</w:t>
      </w:r>
    </w:p>
    <w:p>
      <w:pPr>
        <w:pStyle w:val="6"/>
        <w:tabs>
          <w:tab w:val="left" w:pos="3119"/>
          <w:tab w:val="left" w:pos="7333"/>
        </w:tabs>
        <w:jc w:val="center"/>
        <w:rPr>
          <w:rFonts w:hint="eastAsia" w:ascii="方正小标宋简体" w:hAnsi="方正小标宋简体" w:eastAsia="方正小标宋简体" w:cs="Times New Roman"/>
          <w:color w:val="auto"/>
          <w:sz w:val="30"/>
          <w:szCs w:val="30"/>
        </w:rPr>
      </w:pPr>
      <w:bookmarkStart w:id="0" w:name="_Hlk72921286"/>
      <w:bookmarkStart w:id="1" w:name="_Hlk82683497"/>
      <w:r>
        <w:rPr>
          <w:rFonts w:hint="eastAsia" w:ascii="方正小标宋简体" w:hAnsi="方正小标宋简体" w:eastAsia="方正小标宋简体" w:cs="Times New Roman"/>
          <w:color w:val="auto"/>
          <w:sz w:val="30"/>
          <w:szCs w:val="30"/>
        </w:rPr>
        <w:t>党员干部学习宣传贯彻党的二十大精神专题网络培训</w:t>
      </w:r>
    </w:p>
    <w:p>
      <w:pPr>
        <w:pStyle w:val="6"/>
        <w:tabs>
          <w:tab w:val="left" w:pos="3119"/>
          <w:tab w:val="left" w:pos="7333"/>
        </w:tabs>
        <w:jc w:val="center"/>
        <w:rPr>
          <w:rFonts w:ascii="方正小标宋简体" w:hAnsi="方正小标宋简体" w:eastAsia="方正小标宋简体" w:cs="Times New Roman"/>
          <w:color w:val="auto"/>
          <w:sz w:val="30"/>
          <w:szCs w:val="30"/>
        </w:rPr>
      </w:pPr>
      <w:r>
        <w:rPr>
          <w:rFonts w:hint="eastAsia" w:ascii="方正小标宋简体" w:hAnsi="方正小标宋简体" w:eastAsia="方正小标宋简体" w:cs="Times New Roman"/>
          <w:color w:val="auto"/>
          <w:sz w:val="30"/>
          <w:szCs w:val="30"/>
        </w:rPr>
        <w:t>课程列表</w:t>
      </w:r>
    </w:p>
    <w:bookmarkEnd w:id="0"/>
    <w:tbl>
      <w:tblPr>
        <w:tblStyle w:val="4"/>
        <w:tblW w:w="503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3"/>
        <w:gridCol w:w="6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5000" w:type="pct"/>
            <w:gridSpan w:val="2"/>
            <w:shd w:val="clear" w:color="auto" w:fill="D7D7D7"/>
            <w:noWrap/>
            <w:vAlign w:val="center"/>
          </w:tcPr>
          <w:p>
            <w:pPr>
              <w:pStyle w:val="6"/>
              <w:tabs>
                <w:tab w:val="left" w:pos="3119"/>
              </w:tabs>
              <w:snapToGrid w:val="0"/>
              <w:jc w:val="center"/>
              <w:rPr>
                <w:rFonts w:hint="eastAsia" w:eastAsia="楷体" w:cs="Times New Roman"/>
                <w:color w:val="auto"/>
                <w:sz w:val="28"/>
                <w:szCs w:val="28"/>
                <w:u w:val="none" w:color="auto"/>
              </w:rPr>
            </w:pPr>
            <w:r>
              <w:rPr>
                <w:rFonts w:eastAsia="黑体" w:cs="Times New Roman"/>
                <w:color w:val="auto"/>
                <w:sz w:val="24"/>
                <w:szCs w:val="24"/>
                <w:u w:val="none" w:color="auto"/>
              </w:rPr>
              <w:t>——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</w:rPr>
              <w:t>◆</w:t>
            </w:r>
            <w:r>
              <w:rPr>
                <w:rFonts w:eastAsia="黑体" w:cs="Times New Roman"/>
                <w:color w:val="auto"/>
                <w:sz w:val="24"/>
                <w:szCs w:val="24"/>
                <w:u w:val="none" w:color="auto"/>
              </w:rPr>
              <w:t xml:space="preserve"> 二十大精神系统学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</w:rPr>
              <w:t>◆</w:t>
            </w:r>
            <w:r>
              <w:rPr>
                <w:rFonts w:eastAsia="黑体" w:cs="Times New Roman"/>
                <w:color w:val="auto"/>
                <w:sz w:val="24"/>
                <w:szCs w:val="24"/>
                <w:u w:val="none" w:color="auto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5000" w:type="pct"/>
            <w:gridSpan w:val="2"/>
            <w:shd w:val="clear" w:color="auto" w:fill="D7D7D7"/>
            <w:noWrap/>
            <w:vAlign w:val="center"/>
          </w:tcPr>
          <w:p>
            <w:pPr>
              <w:snapToGrid w:val="0"/>
              <w:jc w:val="center"/>
              <w:rPr>
                <w:rFonts w:hint="eastAsia" w:eastAsia="楷体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auto"/>
                <w:sz w:val="24"/>
                <w:szCs w:val="24"/>
              </w:rPr>
              <w:t>课程名称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5000" w:type="pct"/>
            <w:gridSpan w:val="2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奋力谱写全面建设社会主义现代化国家崭新篇章——党的二十大报告精神导学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5000" w:type="pct"/>
            <w:gridSpan w:val="2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楷体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坚定不移全面从严治党，深入推进新时代党的建设新的伟大工程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5000" w:type="pct"/>
            <w:gridSpan w:val="2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坚持全面依法治国，推进法治中国建设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5000" w:type="pct"/>
            <w:gridSpan w:val="2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加快构建新发展格局，着力推动高质量发展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5000" w:type="pct"/>
            <w:gridSpan w:val="2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楷体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推进文化自信自强，铸就社会主义文化新辉煌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5000" w:type="pct"/>
            <w:gridSpan w:val="2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推动绿色发展，促进人与自然和谐共生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5000" w:type="pct"/>
            <w:gridSpan w:val="2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促进世界和平与发展，推动构建人类命运共同体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5000" w:type="pct"/>
            <w:gridSpan w:val="2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新时代的中国与世界——中国和平发展面临的国际局势与战略应对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5000" w:type="pct"/>
            <w:gridSpan w:val="2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认真学习党的二十大精神，开辟马克思主义中国化时代化新境界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5000" w:type="pct"/>
            <w:gridSpan w:val="2"/>
            <w:shd w:val="clear" w:color="auto" w:fill="D7D7D7"/>
            <w:noWrap/>
            <w:vAlign w:val="center"/>
          </w:tcPr>
          <w:p>
            <w:pPr>
              <w:pStyle w:val="6"/>
              <w:tabs>
                <w:tab w:val="left" w:pos="3119"/>
              </w:tabs>
              <w:snapToGrid w:val="0"/>
              <w:jc w:val="center"/>
              <w:rPr>
                <w:rFonts w:eastAsia="黑体" w:cs="Times New Roman"/>
                <w:color w:val="auto"/>
                <w:sz w:val="24"/>
                <w:szCs w:val="24"/>
              </w:rPr>
            </w:pPr>
            <w:r>
              <w:rPr>
                <w:rFonts w:eastAsia="楷体" w:cs="Times New Roman"/>
                <w:color w:val="auto"/>
                <w:sz w:val="24"/>
                <w:szCs w:val="24"/>
                <w:u w:val="none" w:color="auto"/>
              </w:rPr>
              <w:t>——</w:t>
            </w:r>
            <w:r>
              <w:rPr>
                <w:rFonts w:ascii="Segoe UI Symbol" w:hAnsi="Segoe UI Symbol" w:eastAsia="楷体" w:cs="Segoe UI Symbol"/>
                <w:color w:val="auto"/>
                <w:sz w:val="24"/>
                <w:szCs w:val="24"/>
                <w:u w:val="none" w:color="auto"/>
              </w:rPr>
              <w:t>★</w:t>
            </w:r>
            <w:r>
              <w:rPr>
                <w:rFonts w:eastAsia="楷体" w:cs="Times New Roman"/>
                <w:color w:val="auto"/>
                <w:sz w:val="24"/>
                <w:szCs w:val="24"/>
                <w:u w:val="none" w:color="auto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u w:val="none" w:color="auto"/>
              </w:rPr>
              <w:t>能力提升自主学</w:t>
            </w:r>
            <w:r>
              <w:rPr>
                <w:rFonts w:eastAsia="方正小标宋简体" w:cs="Times New Roman"/>
                <w:color w:val="auto"/>
                <w:sz w:val="24"/>
                <w:szCs w:val="24"/>
                <w:u w:val="none" w:color="auto"/>
              </w:rPr>
              <w:t xml:space="preserve"> </w:t>
            </w:r>
            <w:r>
              <w:rPr>
                <w:rFonts w:ascii="Segoe UI Symbol" w:hAnsi="Segoe UI Symbol" w:eastAsia="楷体" w:cs="Segoe UI Symbol"/>
                <w:color w:val="auto"/>
                <w:sz w:val="24"/>
                <w:szCs w:val="24"/>
                <w:u w:val="none" w:color="auto"/>
              </w:rPr>
              <w:t>★</w:t>
            </w:r>
            <w:r>
              <w:rPr>
                <w:rFonts w:eastAsia="楷体" w:cs="Times New Roman"/>
                <w:color w:val="auto"/>
                <w:sz w:val="24"/>
                <w:szCs w:val="24"/>
                <w:u w:val="none" w:color="auto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162" w:type="pct"/>
            <w:shd w:val="clear" w:color="auto" w:fill="D7D7D7"/>
            <w:noWrap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4"/>
                <w:szCs w:val="24"/>
              </w:rPr>
              <w:t>课程模块</w:t>
            </w:r>
          </w:p>
        </w:tc>
        <w:tc>
          <w:tcPr>
            <w:tcW w:w="3838" w:type="pct"/>
            <w:shd w:val="clear" w:color="auto" w:fill="D7D7D7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auto"/>
                <w:sz w:val="24"/>
                <w:szCs w:val="24"/>
              </w:rPr>
              <w:t>课程名称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162" w:type="pct"/>
            <w:vMerge w:val="restart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党性修养提升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838" w:type="pct"/>
            <w:shd w:val="clear" w:color="000000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从《习近平的七年知青岁月》看中国共产党人的初心与使命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162" w:type="pct"/>
            <w:vMerge w:val="continue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838" w:type="pct"/>
            <w:shd w:val="clear" w:color="000000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中国共产党百年奋斗的历史经验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162" w:type="pct"/>
            <w:vMerge w:val="continue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838" w:type="pct"/>
            <w:shd w:val="clear" w:color="000000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弘扬伟大建党精神  赓续精神谱系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162" w:type="pct"/>
            <w:vMerge w:val="continue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838" w:type="pct"/>
            <w:shd w:val="clear" w:color="000000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坚定政治信仰，勇于担当作为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162" w:type="pct"/>
            <w:vMerge w:val="restart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意识形态工作</w:t>
            </w:r>
          </w:p>
        </w:tc>
        <w:tc>
          <w:tcPr>
            <w:tcW w:w="3838" w:type="pct"/>
            <w:shd w:val="clear" w:color="000000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坚持马克思主义在意识形态领域指导地位的根本制度，牢牢掌握意识形态工作领导权、管理权、话语权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162" w:type="pct"/>
            <w:vMerge w:val="continue"/>
            <w:shd w:val="clear" w:color="000000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838" w:type="pct"/>
            <w:shd w:val="clear" w:color="000000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党的领导与新时代党的建设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162" w:type="pct"/>
            <w:vMerge w:val="continue"/>
            <w:shd w:val="clear" w:color="000000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838" w:type="pct"/>
            <w:shd w:val="clear" w:color="000000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落实意识形态责任制，做好舆情引导工作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162" w:type="pct"/>
            <w:vMerge w:val="continue"/>
            <w:shd w:val="clear" w:color="000000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838" w:type="pct"/>
            <w:shd w:val="clear" w:color="000000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增强做好新形势下意识形态工作的本领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162" w:type="pct"/>
            <w:vMerge w:val="continue"/>
            <w:shd w:val="clear" w:color="000000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838" w:type="pct"/>
            <w:shd w:val="clear" w:color="000000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网络文章的敏感内容规避和网络舆情防范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62" w:type="pct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党章党规党纪</w:t>
            </w:r>
          </w:p>
        </w:tc>
        <w:tc>
          <w:tcPr>
            <w:tcW w:w="3838" w:type="pct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谈谈学习党章的方法——以入党誓词为例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162" w:type="pct"/>
            <w:vMerge w:val="continue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838" w:type="pct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破解对“一把手”监督和同级监督难题——《中共中央关于加强对“一把手”和领导班子监督的意见》解读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162" w:type="pct"/>
            <w:vMerge w:val="continue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838" w:type="pct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严格党的组织生活制度，增强党的组织生活活力——《中央和国家机关严格党的组织生活制度的若干规定（试行）》解读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162" w:type="pct"/>
            <w:vMerge w:val="continue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838" w:type="pct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新时代党员教育管理工作的基本遵循——学习《中国共产党党员教育管理工作条例》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62" w:type="pct"/>
            <w:vMerge w:val="continue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838" w:type="pct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《中国共产党纪律处分条例》（修订）解读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162" w:type="pct"/>
            <w:vMerge w:val="continue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838" w:type="pct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深入学习贯彻《中国共产党支部工作条列（试行）》加强党支部标准化规范化建设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162" w:type="pct"/>
            <w:vMerge w:val="continue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838" w:type="pct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不断提高新发展党员的质量——关于《中国共产党发展党员工作细则》的学习与解读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162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838" w:type="pct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管党治党一刻不能松——深入学习习近平关于党风廉政建设和反腐败斗争论述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162" w:type="pct"/>
            <w:vMerge w:val="continue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838" w:type="pct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《习近平关于全面从严治党论述摘编》导读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162" w:type="pct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基层党组织建设</w:t>
            </w:r>
          </w:p>
        </w:tc>
        <w:tc>
          <w:tcPr>
            <w:tcW w:w="3838" w:type="pct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“全国党建工作示范高校”培育创建的实践探索与</w:t>
            </w:r>
            <w:r>
              <w:rPr>
                <w:rFonts w:ascii="Times New Roman" w:hAnsi="Times New Roman" w:eastAsia="微软雅黑" w:cs="Times New Roman"/>
                <w:color w:val="auto"/>
                <w:sz w:val="24"/>
                <w:szCs w:val="24"/>
              </w:rPr>
              <w:t>謭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论思考——以基层党支部建设为视角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62" w:type="pct"/>
            <w:vMerge w:val="continue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838" w:type="pct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怎样讲好一节党课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162" w:type="pct"/>
            <w:vMerge w:val="continue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838" w:type="pct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做“有为”党委，让党建工作扎根基层——全国党建工作标杆院系创建的思考与探索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62" w:type="pct"/>
            <w:vMerge w:val="continue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838" w:type="pct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完善党政联席会议制度 推进院系治理现代化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62" w:type="pct"/>
            <w:vMerge w:val="continue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838" w:type="pct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对标支部建设项目标准 全面驱动工作质量提升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162" w:type="pct"/>
            <w:vMerge w:val="continue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838" w:type="pct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围绕“六个加强”，打造“六型堡垒”，以“七个有力”促学生成长成才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62" w:type="pct"/>
            <w:vMerge w:val="restart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党建工作实务</w:t>
            </w:r>
          </w:p>
        </w:tc>
        <w:tc>
          <w:tcPr>
            <w:tcW w:w="3838" w:type="pct"/>
            <w:shd w:val="clear" w:color="000000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如何高质量开展好“三会一课”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62" w:type="pct"/>
            <w:vMerge w:val="continue"/>
            <w:shd w:val="clear" w:color="000000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838" w:type="pct"/>
            <w:shd w:val="clear" w:color="000000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如何让主题党团活动更有吸引力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62" w:type="pct"/>
            <w:vMerge w:val="continue"/>
            <w:shd w:val="clear" w:color="000000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838" w:type="pct"/>
            <w:shd w:val="clear" w:color="000000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如何开好组织生活会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162" w:type="pct"/>
            <w:vMerge w:val="continue"/>
            <w:shd w:val="clear" w:color="000000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838" w:type="pct"/>
            <w:shd w:val="clear" w:color="000000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支部宣传、纪检委员的职责与工作方法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62" w:type="pct"/>
            <w:vMerge w:val="continue"/>
            <w:shd w:val="clear" w:color="000000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838" w:type="pct"/>
            <w:shd w:val="clear" w:color="000000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党支部开展民主评议党员工作主要程序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62" w:type="pct"/>
            <w:vMerge w:val="continue"/>
            <w:shd w:val="clear" w:color="000000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838" w:type="pct"/>
            <w:shd w:val="clear" w:color="000000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党支部如何开展谈心谈话活动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62" w:type="pct"/>
            <w:vMerge w:val="continue"/>
            <w:shd w:val="clear" w:color="000000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838" w:type="pct"/>
            <w:shd w:val="clear" w:color="000000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关于党费收缴、使用和管理的相关规定和解读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62" w:type="pct"/>
            <w:vMerge w:val="continue"/>
            <w:shd w:val="clear" w:color="000000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838" w:type="pct"/>
            <w:shd w:val="clear" w:color="000000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党支部如何切实做好保密工作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62" w:type="pct"/>
            <w:vMerge w:val="restart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师德师风建设</w:t>
            </w:r>
          </w:p>
        </w:tc>
        <w:tc>
          <w:tcPr>
            <w:tcW w:w="3838" w:type="pct"/>
            <w:shd w:val="clear" w:color="000000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潜心教书育人 共建师生命运共同体——教师责任的认知、认同与实践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62" w:type="pct"/>
            <w:vMerge w:val="continue"/>
            <w:shd w:val="clear" w:color="000000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838" w:type="pct"/>
            <w:shd w:val="clear" w:color="000000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新时代教师职业行为十项准则及典型案例分析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62" w:type="pct"/>
            <w:vMerge w:val="continue"/>
            <w:shd w:val="clear" w:color="000000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838" w:type="pct"/>
            <w:shd w:val="clear" w:color="000000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教师职业行为十项准则解读：典型案例与警示教育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62" w:type="pct"/>
            <w:vMerge w:val="continue"/>
            <w:shd w:val="clear" w:color="000000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838" w:type="pct"/>
            <w:shd w:val="clear" w:color="000000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教师、教育、教学——做教育事业的筑梦人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62" w:type="pct"/>
            <w:vMerge w:val="restart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职业教育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发展</w:t>
            </w:r>
          </w:p>
        </w:tc>
        <w:tc>
          <w:tcPr>
            <w:tcW w:w="3838" w:type="pct"/>
            <w:shd w:val="clear" w:color="000000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《国家职业教育改革实施方案》及相关文件解读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62" w:type="pct"/>
            <w:vMerge w:val="continue"/>
            <w:shd w:val="clear" w:color="000000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838" w:type="pct"/>
            <w:shd w:val="clear" w:color="000000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《关于推动现代职业教育高质量发展的意见》学习体会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62" w:type="pct"/>
            <w:vMerge w:val="continue"/>
            <w:shd w:val="clear" w:color="000000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838" w:type="pct"/>
            <w:shd w:val="clear" w:color="000000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新《职业教育法》护航职业教育高质量发展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62" w:type="pct"/>
            <w:vMerge w:val="continue"/>
            <w:shd w:val="clear" w:color="000000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838" w:type="pct"/>
            <w:shd w:val="clear" w:color="000000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《“技能中国行动”实施方案》解读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62" w:type="pct"/>
            <w:vMerge w:val="continue"/>
            <w:shd w:val="clear" w:color="000000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838" w:type="pct"/>
            <w:shd w:val="clear" w:color="000000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职业教育信息化标杆学校建设的思考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62" w:type="pct"/>
            <w:vMerge w:val="continue"/>
            <w:shd w:val="clear" w:color="000000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838" w:type="pct"/>
            <w:shd w:val="clear" w:color="000000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职业教育工学一体化课程原理与开发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62" w:type="pct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综合能力素养</w:t>
            </w:r>
          </w:p>
        </w:tc>
        <w:tc>
          <w:tcPr>
            <w:tcW w:w="3838" w:type="pct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人际关系与沟通技巧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62" w:type="pct"/>
            <w:vMerge w:val="continue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838" w:type="pct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鬼谷子沟通的艺术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62" w:type="pct"/>
            <w:vMerge w:val="continue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838" w:type="pct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如何科学管理情绪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62" w:type="pct"/>
            <w:vMerge w:val="continue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838" w:type="pct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职业焦虑与心理调适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162" w:type="pct"/>
            <w:vMerge w:val="continue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838" w:type="pct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校园安全法律风险防范与突发事件处理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162" w:type="pct"/>
            <w:vMerge w:val="continue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838" w:type="pct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党务工作公文写作方法、规律与技巧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162" w:type="pct"/>
            <w:vMerge w:val="continue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838" w:type="pct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公文审核技巧与公文处理中的常见错情分析及对策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162" w:type="pct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社区教育提质赋能（社区院校研修）</w:t>
            </w:r>
          </w:p>
        </w:tc>
        <w:tc>
          <w:tcPr>
            <w:tcW w:w="3838" w:type="pct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什么是社区教育的高质量发展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162" w:type="pct"/>
            <w:vMerge w:val="continue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838" w:type="pct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社区教育与弘扬与践行社会主义核心价值观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162" w:type="pct"/>
            <w:vMerge w:val="continue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838" w:type="pct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社区教育与社区治理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162" w:type="pct"/>
            <w:vMerge w:val="continue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838" w:type="pct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社区教育与优秀传统文化传承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162" w:type="pct"/>
            <w:vMerge w:val="continue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838" w:type="pct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社区教育与转变市民生活方式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162" w:type="pct"/>
            <w:vMerge w:val="continue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838" w:type="pct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社区教育与家庭教育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162" w:type="pct"/>
            <w:vMerge w:val="continue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838" w:type="pct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社区教育与乡村振兴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162" w:type="pct"/>
            <w:vMerge w:val="continue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838" w:type="pct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社区教育与社区建设</w:t>
            </w:r>
          </w:p>
        </w:tc>
      </w:tr>
    </w:tbl>
    <w:p>
      <w:pPr>
        <w:spacing w:line="360" w:lineRule="exact"/>
        <w:rPr>
          <w:rFonts w:ascii="Times New Roman" w:hAnsi="Times New Roman" w:eastAsia="楷体" w:cs="Times New Roman"/>
          <w:color w:val="auto"/>
          <w:sz w:val="24"/>
          <w:szCs w:val="24"/>
          <w:u w:val="none" w:color="000000"/>
        </w:rPr>
      </w:pPr>
      <w:r>
        <w:rPr>
          <w:rFonts w:ascii="Times New Roman" w:hAnsi="Times New Roman" w:eastAsia="楷体" w:cs="Times New Roman"/>
          <w:color w:val="auto"/>
          <w:sz w:val="24"/>
          <w:szCs w:val="24"/>
          <w:u w:val="none" w:color="000000"/>
        </w:rPr>
        <w:t xml:space="preserve">说明：1.个别课程或稍有调整，请以平台最终发布课程为准； </w:t>
      </w:r>
    </w:p>
    <w:p>
      <w:pPr>
        <w:widowControl/>
        <w:spacing w:line="360" w:lineRule="exact"/>
        <w:ind w:firstLine="720" w:firstLineChars="300"/>
        <w:jc w:val="left"/>
        <w:rPr>
          <w:rFonts w:ascii="Times New Roman" w:hAnsi="Times New Roman" w:eastAsia="楷体" w:cs="Times New Roman"/>
          <w:color w:val="auto"/>
          <w:sz w:val="24"/>
          <w:szCs w:val="24"/>
          <w:u w:val="none" w:color="000000"/>
        </w:rPr>
        <w:sectPr>
          <w:pgSz w:w="11906" w:h="16838"/>
          <w:pgMar w:top="1440" w:right="1803" w:bottom="1440" w:left="1803" w:header="851" w:footer="992" w:gutter="0"/>
          <w:cols w:space="720" w:num="1"/>
          <w:docGrid w:linePitch="312" w:charSpace="0"/>
        </w:sectPr>
      </w:pPr>
      <w:r>
        <w:rPr>
          <w:rFonts w:ascii="Times New Roman" w:hAnsi="Times New Roman" w:eastAsia="楷体" w:cs="Times New Roman"/>
          <w:color w:val="auto"/>
          <w:sz w:val="24"/>
          <w:szCs w:val="24"/>
          <w:u w:val="none" w:color="000000"/>
        </w:rPr>
        <w:t>2.课程主讲人职务为课程录制时的职务。</w:t>
      </w:r>
    </w:p>
    <w:bookmarkEnd w:id="1"/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zMmIyMTIyODY2MTk4OGRkOTI1YzI5MTE1Y2Q5ZDkifQ=="/>
  </w:docVars>
  <w:rsids>
    <w:rsidRoot w:val="10CF16B7"/>
    <w:rsid w:val="10CF16B7"/>
    <w:rsid w:val="1FA8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customStyle="1" w:styleId="6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2022-11-15T06:27:00Z</dcterms:created>
  <dc:creator>一叶编舟</dc:creator>
  <cp:lastModifiedBy>一叶编舟</cp:lastModifiedBy>
  <dcterms:modified xsi:type="dcterms:W3CDTF">2022-11-15T06:27:38Z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78BD8826BBA64A74B487E198073EAC4F</vt:lpwstr>
  </property>
</Properties>
</file>