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ED" w:rsidRDefault="00B710ED" w:rsidP="00B710ED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B710ED" w:rsidRDefault="00B710ED" w:rsidP="00B710ED">
      <w:pPr>
        <w:rPr>
          <w:rFonts w:ascii="Times New Roman" w:eastAsia="仿宋" w:hAnsi="Times New Roman" w:cs="Times New Roman"/>
          <w:sz w:val="32"/>
          <w:szCs w:val="32"/>
        </w:rPr>
      </w:pPr>
    </w:p>
    <w:p w:rsidR="00B710ED" w:rsidRDefault="00B710ED" w:rsidP="00B710ED">
      <w:pPr>
        <w:spacing w:afterLines="150" w:line="560" w:lineRule="exact"/>
        <w:jc w:val="center"/>
        <w:rPr>
          <w:rFonts w:ascii="华文中宋" w:eastAsia="华文中宋" w:hAnsi="华文中宋" w:cs="Times New Roman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bCs/>
          <w:kern w:val="0"/>
          <w:sz w:val="36"/>
          <w:szCs w:val="36"/>
        </w:rPr>
        <w:t>《家庭农场从业者职业能力体系》使用说明</w:t>
      </w:r>
    </w:p>
    <w:p w:rsidR="00B710ED" w:rsidRDefault="00B710ED" w:rsidP="00B710ED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一、名词解释</w:t>
      </w:r>
    </w:p>
    <w:p w:rsidR="00B710ED" w:rsidRDefault="00B710ED" w:rsidP="00B710ED">
      <w:pPr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b/>
          <w:sz w:val="32"/>
          <w:szCs w:val="32"/>
        </w:rPr>
        <w:t>1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楷体" w:hAnsi="Times New Roman" w:cs="Times New Roman"/>
          <w:b/>
          <w:sz w:val="32"/>
          <w:szCs w:val="32"/>
        </w:rPr>
        <w:t>职业能力。</w:t>
      </w:r>
      <w:r>
        <w:rPr>
          <w:rFonts w:ascii="Times New Roman" w:eastAsia="仿宋" w:hAnsi="Times New Roman" w:cs="Times New Roman" w:hint="eastAsia"/>
          <w:sz w:val="32"/>
          <w:szCs w:val="32"/>
        </w:rPr>
        <w:t>是指人们从事一门或若干相近职业必备的本领，以及在工作生活中所表现的科学思维和为人处世的态度。职业能力一般分为专业能力和职业素养两部分，具体能力项从技能、工具、方法、要求、知识、素养等方面描述。</w:t>
      </w:r>
    </w:p>
    <w:p w:rsidR="00B710ED" w:rsidRDefault="00B710ED" w:rsidP="00B710ED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在农民教育培训领域，职业能力兼具“技能型”和“高端性”两个特点。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技能型特点</w:t>
      </w:r>
      <w:r>
        <w:rPr>
          <w:rFonts w:ascii="Times New Roman" w:eastAsia="仿宋" w:hAnsi="Times New Roman" w:cs="Times New Roman" w:hint="eastAsia"/>
          <w:sz w:val="32"/>
          <w:szCs w:val="32"/>
        </w:rPr>
        <w:t>体现于程序性知识和操作能力，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高端性特点</w:t>
      </w:r>
      <w:r>
        <w:rPr>
          <w:rFonts w:ascii="Times New Roman" w:eastAsia="仿宋" w:hAnsi="Times New Roman" w:cs="Times New Roman" w:hint="eastAsia"/>
          <w:sz w:val="32"/>
          <w:szCs w:val="32"/>
        </w:rPr>
        <w:t>体现于策略性知识和问题解决能力，凸显手脑并用。两个特点在具体的学员群体和教学实践中，所呈现的程度强弱、内容成分均各不相同。</w:t>
      </w:r>
    </w:p>
    <w:p w:rsidR="00B710ED" w:rsidRDefault="00B710ED" w:rsidP="00B710ED">
      <w:pPr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2.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职业素养。</w:t>
      </w:r>
      <w:r>
        <w:rPr>
          <w:rFonts w:ascii="Times New Roman" w:eastAsia="仿宋" w:hAnsi="Times New Roman" w:cs="Times New Roman" w:hint="eastAsia"/>
          <w:sz w:val="32"/>
          <w:szCs w:val="32"/>
        </w:rPr>
        <w:t>是职业能力的重要组成部分。职业素养包括方法能力和社会能力两方面，其中，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方法能力</w:t>
      </w:r>
      <w:r>
        <w:rPr>
          <w:rFonts w:ascii="Times New Roman" w:eastAsia="仿宋" w:hAnsi="Times New Roman" w:cs="Times New Roman" w:hint="eastAsia"/>
          <w:sz w:val="32"/>
          <w:szCs w:val="32"/>
        </w:rPr>
        <w:t>使得从业者面临职业变化或岗位内容变化时，能重新获得新的知识和新的技能，如认知能力、学习能力等；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社会能力</w:t>
      </w:r>
      <w:r>
        <w:rPr>
          <w:rFonts w:ascii="Times New Roman" w:eastAsia="仿宋" w:hAnsi="Times New Roman" w:cs="Times New Roman" w:hint="eastAsia"/>
          <w:sz w:val="32"/>
          <w:szCs w:val="32"/>
        </w:rPr>
        <w:t>促进从业者在职业生涯中更好发展，如人际交往能力、价值理念等。</w:t>
      </w:r>
    </w:p>
    <w:p w:rsidR="00B710ED" w:rsidRDefault="00B710ED" w:rsidP="00B710ED">
      <w:pPr>
        <w:ind w:firstLineChars="200" w:firstLine="640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在农民教育培训领域，随着对人的全面发展的日益重视，各地教学中关于职业素养的内容逐步增多。本职业能力体系所设的职业素养部分，不仅与家庭农场从业者相对应，也是</w:t>
      </w: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对当前新型农业经营主体的职业素养的系统概括。</w:t>
      </w:r>
    </w:p>
    <w:p w:rsidR="00B710ED" w:rsidRDefault="00B710ED" w:rsidP="00B710ED">
      <w:pPr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3.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职业能力体系。</w:t>
      </w:r>
      <w:r>
        <w:rPr>
          <w:rFonts w:ascii="Times New Roman" w:eastAsia="仿宋" w:hAnsi="Times New Roman" w:cs="Times New Roman" w:hint="eastAsia"/>
          <w:sz w:val="32"/>
          <w:szCs w:val="32"/>
        </w:rPr>
        <w:t>是通过调查目的岗位的工作过程和职业活动，经分析、比较、概括和综合后</w:t>
      </w:r>
      <w:bookmarkStart w:id="0" w:name="_GoBack"/>
      <w:bookmarkEnd w:id="0"/>
      <w:r>
        <w:rPr>
          <w:rFonts w:ascii="Times New Roman" w:eastAsia="仿宋" w:hAnsi="Times New Roman" w:cs="Times New Roman" w:hint="eastAsia"/>
          <w:sz w:val="32"/>
          <w:szCs w:val="32"/>
        </w:rPr>
        <w:t>形成的职业能力谱系。职业能力体系是编制专业教学标准和课程标准的重要依据，对全日制职业教育发挥着源头基础作用。</w:t>
      </w:r>
    </w:p>
    <w:p w:rsidR="00B710ED" w:rsidRDefault="00B710ED" w:rsidP="00B710ED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在农民教育培训领域，职业能力体系不仅是工作开展的间接基础，而且能直接指导各层次教学的现实行为，包括目标规格设定、课程体系建构、课程开发、教材建设、课程实施与评价等。</w:t>
      </w:r>
    </w:p>
    <w:p w:rsidR="00B710ED" w:rsidRDefault="00B710ED" w:rsidP="00B710ED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二、建构过程</w:t>
      </w:r>
    </w:p>
    <w:p w:rsidR="00B710ED" w:rsidRDefault="00B710ED" w:rsidP="00B710ED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本体系从生产经营入手，紧扣家庭农场全链条工作和关键职业活动，先分析农场生产经营的主要工作领域，再分解不同领域所涉及的工作任务，进而设计每项工作任务中有代表性的职业能力，从而建构出家庭农场从业者“工作领域——工作任务——职业能力”的职业能力体系。</w:t>
      </w:r>
    </w:p>
    <w:p w:rsidR="00B710ED" w:rsidRDefault="00B710ED" w:rsidP="00B710ED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我国家庭农场的产业领域广泛，生产规模和经营水平差异大，涉及岗位能力繁杂，从业人员的工作侧重点不一。本体系力求从多样的农场工作中，化繁为简抓住基本脉络，从错综复杂的职业活动中，去粗取精表述核心能力，并</w:t>
      </w:r>
      <w:r>
        <w:rPr>
          <w:rFonts w:ascii="仿宋" w:eastAsia="仿宋" w:hAnsi="仿宋" w:hint="eastAsia"/>
          <w:sz w:val="32"/>
          <w:szCs w:val="32"/>
        </w:rPr>
        <w:t>力求全面、准确反映家庭农场发展状况。本体系还</w:t>
      </w:r>
      <w:r>
        <w:rPr>
          <w:rFonts w:ascii="Times New Roman" w:eastAsia="仿宋" w:hAnsi="Times New Roman" w:cs="Times New Roman" w:hint="eastAsia"/>
          <w:sz w:val="32"/>
          <w:szCs w:val="32"/>
        </w:rPr>
        <w:t>参照教育部中等职业学校</w:t>
      </w:r>
      <w:r>
        <w:rPr>
          <w:rFonts w:ascii="Times New Roman" w:eastAsia="仿宋" w:hAnsi="Times New Roman" w:cs="Times New Roman"/>
          <w:sz w:val="32"/>
          <w:szCs w:val="32"/>
        </w:rPr>
        <w:t>《</w:t>
      </w:r>
      <w:r>
        <w:rPr>
          <w:rFonts w:ascii="Times New Roman" w:eastAsia="仿宋" w:hAnsi="Times New Roman" w:cs="Times New Roman" w:hint="eastAsia"/>
          <w:sz w:val="32"/>
          <w:szCs w:val="32"/>
        </w:rPr>
        <w:t>家庭</w:t>
      </w:r>
      <w:r>
        <w:rPr>
          <w:rFonts w:ascii="Times New Roman" w:eastAsia="仿宋" w:hAnsi="Times New Roman" w:cs="Times New Roman"/>
          <w:sz w:val="32"/>
          <w:szCs w:val="32"/>
        </w:rPr>
        <w:t>农场生产经营》</w:t>
      </w:r>
      <w:r>
        <w:rPr>
          <w:rFonts w:ascii="Times New Roman" w:eastAsia="仿宋" w:hAnsi="Times New Roman" w:cs="Times New Roman" w:hint="eastAsia"/>
          <w:sz w:val="32"/>
          <w:szCs w:val="32"/>
        </w:rPr>
        <w:t>专业所对应的职业能力表</w:t>
      </w:r>
      <w:r>
        <w:rPr>
          <w:rFonts w:ascii="Times New Roman" w:eastAsia="仿宋" w:hAnsi="Times New Roman" w:cs="Times New Roman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sz w:val="32"/>
          <w:szCs w:val="32"/>
        </w:rPr>
        <w:t>借鉴了其中的研制思路。</w:t>
      </w:r>
    </w:p>
    <w:p w:rsidR="00B710ED" w:rsidRDefault="00B710ED" w:rsidP="00B710ED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三、主要内容</w:t>
      </w:r>
    </w:p>
    <w:p w:rsidR="00B710ED" w:rsidRDefault="00B710ED" w:rsidP="00B710ED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包括专业</w:t>
      </w:r>
      <w:r>
        <w:rPr>
          <w:rFonts w:ascii="Times New Roman" w:eastAsia="仿宋" w:hAnsi="Times New Roman" w:cs="Times New Roman"/>
          <w:sz w:val="32"/>
          <w:szCs w:val="32"/>
        </w:rPr>
        <w:t>能力和</w:t>
      </w:r>
      <w:r>
        <w:rPr>
          <w:rFonts w:ascii="Times New Roman" w:eastAsia="仿宋" w:hAnsi="Times New Roman" w:cs="Times New Roman" w:hint="eastAsia"/>
          <w:sz w:val="32"/>
          <w:szCs w:val="32"/>
        </w:rPr>
        <w:t>职业</w:t>
      </w:r>
      <w:r>
        <w:rPr>
          <w:rFonts w:ascii="Times New Roman" w:eastAsia="仿宋" w:hAnsi="Times New Roman" w:cs="Times New Roman"/>
          <w:sz w:val="32"/>
          <w:szCs w:val="32"/>
        </w:rPr>
        <w:t>素养两部分。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专业能力部分，</w:t>
      </w:r>
      <w:r>
        <w:rPr>
          <w:rFonts w:ascii="Times New Roman" w:eastAsia="仿宋" w:hAnsi="Times New Roman" w:cs="Times New Roman" w:hint="eastAsia"/>
          <w:sz w:val="32"/>
          <w:szCs w:val="32"/>
        </w:rPr>
        <w:t>整理出</w:t>
      </w:r>
      <w:r>
        <w:rPr>
          <w:rFonts w:ascii="Times New Roman" w:eastAsia="仿宋" w:hAnsi="Times New Roman" w:cs="Times New Roman"/>
          <w:sz w:val="32"/>
          <w:szCs w:val="32"/>
        </w:rPr>
        <w:t>家庭农场</w:t>
      </w:r>
      <w:r>
        <w:rPr>
          <w:rFonts w:ascii="Times New Roman" w:eastAsia="仿宋" w:hAnsi="Times New Roman" w:cs="Times New Roman" w:hint="eastAsia"/>
          <w:sz w:val="32"/>
          <w:szCs w:val="32"/>
        </w:rPr>
        <w:t>职业范围</w:t>
      </w:r>
      <w:r>
        <w:rPr>
          <w:rFonts w:ascii="Times New Roman" w:eastAsia="仿宋" w:hAnsi="Times New Roman" w:cs="Times New Roman"/>
          <w:sz w:val="32"/>
          <w:szCs w:val="32"/>
        </w:rPr>
        <w:t>的</w:t>
      </w:r>
      <w:r>
        <w:rPr>
          <w:rFonts w:ascii="Times New Roman" w:eastAsia="仿宋" w:hAnsi="Times New Roman" w:cs="Times New Roman"/>
          <w:sz w:val="32"/>
          <w:szCs w:val="32"/>
        </w:rPr>
        <w:t>11</w:t>
      </w:r>
      <w:r>
        <w:rPr>
          <w:rFonts w:ascii="Times New Roman" w:eastAsia="仿宋" w:hAnsi="Times New Roman" w:cs="Times New Roman" w:hint="eastAsia"/>
          <w:sz w:val="32"/>
          <w:szCs w:val="32"/>
        </w:rPr>
        <w:t>方面工作</w:t>
      </w:r>
      <w:r>
        <w:rPr>
          <w:rFonts w:ascii="Times New Roman" w:eastAsia="仿宋" w:hAnsi="Times New Roman" w:cs="Times New Roman"/>
          <w:sz w:val="32"/>
          <w:szCs w:val="32"/>
        </w:rPr>
        <w:t>领域、</w:t>
      </w:r>
      <w:r>
        <w:rPr>
          <w:rFonts w:ascii="Times New Roman" w:eastAsia="仿宋" w:hAnsi="Times New Roman" w:cs="Times New Roman"/>
          <w:sz w:val="32"/>
          <w:szCs w:val="32"/>
        </w:rPr>
        <w:t>33</w:t>
      </w:r>
      <w:r>
        <w:rPr>
          <w:rFonts w:ascii="Times New Roman" w:eastAsia="仿宋" w:hAnsi="Times New Roman" w:cs="Times New Roman"/>
          <w:sz w:val="32"/>
          <w:szCs w:val="32"/>
        </w:rPr>
        <w:t>个工作任务，共计</w:t>
      </w:r>
      <w:r>
        <w:rPr>
          <w:rFonts w:ascii="Times New Roman" w:eastAsia="仿宋" w:hAnsi="Times New Roman" w:cs="Times New Roman"/>
          <w:sz w:val="32"/>
          <w:szCs w:val="32"/>
        </w:rPr>
        <w:t>127</w:t>
      </w:r>
      <w:r>
        <w:rPr>
          <w:rFonts w:ascii="Times New Roman" w:eastAsia="仿宋" w:hAnsi="Times New Roman" w:cs="Times New Roman"/>
          <w:sz w:val="32"/>
          <w:szCs w:val="32"/>
        </w:rPr>
        <w:t>项职业能力</w:t>
      </w:r>
      <w:r>
        <w:rPr>
          <w:rFonts w:ascii="Times New Roman" w:eastAsia="仿宋" w:hAnsi="Times New Roman" w:cs="Times New Roman" w:hint="eastAsia"/>
          <w:sz w:val="32"/>
          <w:szCs w:val="32"/>
        </w:rPr>
        <w:t>。其中涉及生产和管理领域的职业能力项，从粮食（园艺）</w:t>
      </w:r>
      <w:r>
        <w:rPr>
          <w:rFonts w:ascii="Times New Roman" w:eastAsia="仿宋" w:hAnsi="Times New Roman" w:cs="Times New Roman"/>
          <w:sz w:val="32"/>
          <w:szCs w:val="32"/>
        </w:rPr>
        <w:t>、畜禽和水产</w:t>
      </w:r>
      <w:r>
        <w:rPr>
          <w:rFonts w:ascii="Times New Roman" w:eastAsia="仿宋" w:hAnsi="Times New Roman" w:cs="Times New Roman" w:hint="eastAsia"/>
          <w:sz w:val="32"/>
          <w:szCs w:val="32"/>
        </w:rPr>
        <w:t>三方面进行整合表述。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职业素养部分，</w:t>
      </w:r>
      <w:r>
        <w:rPr>
          <w:rFonts w:ascii="Times New Roman" w:eastAsia="仿宋" w:hAnsi="Times New Roman" w:cs="Times New Roman" w:hint="eastAsia"/>
          <w:sz w:val="32"/>
          <w:szCs w:val="32"/>
        </w:rPr>
        <w:t>包括</w:t>
      </w:r>
      <w:r>
        <w:rPr>
          <w:rFonts w:ascii="Times New Roman" w:eastAsia="仿宋" w:hAnsi="Times New Roman" w:cs="Times New Roman" w:hint="eastAsia"/>
          <w:sz w:val="32"/>
          <w:szCs w:val="32"/>
        </w:rPr>
        <w:t>7</w:t>
      </w:r>
      <w:r>
        <w:rPr>
          <w:rFonts w:ascii="Times New Roman" w:eastAsia="仿宋" w:hAnsi="Times New Roman" w:cs="Times New Roman" w:hint="eastAsia"/>
          <w:sz w:val="32"/>
          <w:szCs w:val="32"/>
        </w:rPr>
        <w:t>类一级</w:t>
      </w:r>
      <w:r>
        <w:rPr>
          <w:rFonts w:ascii="Times New Roman" w:eastAsia="仿宋" w:hAnsi="Times New Roman" w:cs="Times New Roman"/>
          <w:sz w:val="32"/>
          <w:szCs w:val="32"/>
        </w:rPr>
        <w:t>素养，</w:t>
      </w:r>
      <w:r>
        <w:rPr>
          <w:rFonts w:ascii="Times New Roman" w:eastAsia="仿宋" w:hAnsi="Times New Roman" w:cs="Times New Roman" w:hint="eastAsia"/>
          <w:sz w:val="32"/>
          <w:szCs w:val="32"/>
        </w:rPr>
        <w:t>共计</w:t>
      </w:r>
      <w:r>
        <w:rPr>
          <w:rFonts w:ascii="Times New Roman" w:eastAsia="仿宋" w:hAnsi="Times New Roman" w:cs="Times New Roman" w:hint="eastAsia"/>
          <w:sz w:val="32"/>
          <w:szCs w:val="32"/>
        </w:rPr>
        <w:t>22</w:t>
      </w:r>
      <w:r>
        <w:rPr>
          <w:rFonts w:ascii="Times New Roman" w:eastAsia="仿宋" w:hAnsi="Times New Roman" w:cs="Times New Roman" w:hint="eastAsia"/>
          <w:sz w:val="32"/>
          <w:szCs w:val="32"/>
        </w:rPr>
        <w:t>项二</w:t>
      </w:r>
      <w:r>
        <w:rPr>
          <w:rFonts w:ascii="Times New Roman" w:eastAsia="仿宋" w:hAnsi="Times New Roman" w:cs="Times New Roman"/>
          <w:sz w:val="32"/>
          <w:szCs w:val="32"/>
        </w:rPr>
        <w:t>级素养。</w:t>
      </w:r>
    </w:p>
    <w:p w:rsidR="00B710ED" w:rsidRDefault="00B710ED" w:rsidP="00B710ED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四、应用范围</w:t>
      </w:r>
    </w:p>
    <w:p w:rsidR="00B710ED" w:rsidRDefault="00B710ED" w:rsidP="00B710ED">
      <w:pPr>
        <w:ind w:firstLineChars="200" w:firstLine="640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本体系面向的培养对象，既包括家庭农场主和农场一线生产者，也覆盖涉农各类管理人员、生产技术人员等多方面从业群体。不仅用于家庭农场专业的职业教育教学，还可经过适当转化，用于种养有关专业的产业教学，及其他新型经营主体的人才培养。在农民教育培训领域的应用主要如下。</w:t>
      </w:r>
    </w:p>
    <w:p w:rsidR="00B710ED" w:rsidRDefault="00B710ED" w:rsidP="00B710ED">
      <w:pPr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1.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确定目标规格。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在农民职教层次，</w:t>
      </w:r>
      <w:r>
        <w:rPr>
          <w:rFonts w:ascii="Times New Roman" w:eastAsia="仿宋" w:hAnsi="Times New Roman" w:cs="Times New Roman" w:hint="eastAsia"/>
          <w:sz w:val="32"/>
          <w:szCs w:val="32"/>
        </w:rPr>
        <w:t>各省农广校可结合当地人才培养实际，以本体系为素材，从中概括出特定的专业培养目标，包括岗位工作、职业能力、人才层次的精炼表述。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在农民培训层次，</w:t>
      </w:r>
      <w:r>
        <w:rPr>
          <w:rFonts w:ascii="Times New Roman" w:eastAsia="仿宋" w:hAnsi="Times New Roman" w:cs="Times New Roman" w:hint="eastAsia"/>
          <w:sz w:val="32"/>
          <w:szCs w:val="32"/>
        </w:rPr>
        <w:t>各基层校可围绕体系中某个或某几个工作任务（一级素养），改造形成高素质农民培育、技术技能培训等特定班级的培训目标。</w:t>
      </w:r>
    </w:p>
    <w:p w:rsidR="00B710ED" w:rsidRDefault="00B710ED" w:rsidP="00B710ED">
      <w:pPr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2.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开发课程。</w:t>
      </w:r>
      <w:r>
        <w:rPr>
          <w:rFonts w:ascii="Times New Roman" w:eastAsia="仿宋" w:hAnsi="Times New Roman" w:cs="Times New Roman" w:hint="eastAsia"/>
          <w:sz w:val="32"/>
          <w:szCs w:val="32"/>
        </w:rPr>
        <w:t>通过三种转换方式开发本体系为课程。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一是直接转换，</w:t>
      </w:r>
      <w:r>
        <w:rPr>
          <w:rFonts w:ascii="Times New Roman" w:eastAsia="仿宋" w:hAnsi="Times New Roman" w:cs="Times New Roman" w:hint="eastAsia"/>
          <w:sz w:val="32"/>
          <w:szCs w:val="32"/>
        </w:rPr>
        <w:t>体系中的一个工作领域就是一门课程，如“田间管理”，或一个工作任务就是一门课程，如“了解地方政策”。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二是组合转换，</w:t>
      </w:r>
      <w:r>
        <w:rPr>
          <w:rFonts w:ascii="Times New Roman" w:eastAsia="仿宋" w:hAnsi="Times New Roman" w:cs="Times New Roman" w:hint="eastAsia"/>
          <w:sz w:val="32"/>
          <w:szCs w:val="32"/>
        </w:rPr>
        <w:t>多个工作领域组合为一门课程，或不</w:t>
      </w: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同领域下的某几个工作任务组合为一门课程。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三是提炼转换，</w:t>
      </w:r>
      <w:r>
        <w:rPr>
          <w:rFonts w:ascii="Times New Roman" w:eastAsia="仿宋" w:hAnsi="Times New Roman" w:cs="Times New Roman" w:hint="eastAsia"/>
          <w:sz w:val="32"/>
          <w:szCs w:val="32"/>
        </w:rPr>
        <w:t>对于与体系中能力项没有直接对应关系的课程，需要对体系中某些能力项进行提炼，抽离于具体工作，如“法律基础与农村法规”。同时每门课程都必须关注职业素养的培养，即每门课程都必须对应体系中相关的二级素养。</w:t>
      </w:r>
    </w:p>
    <w:p w:rsidR="00B710ED" w:rsidRDefault="00B710ED" w:rsidP="00B710ED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各地可按照上述方式，组织专业力量，综合确定课程内容的多寡、深浅，从而形成长课或短课。并以确定的课程内容为基准，纲举目张编写对应教材或讲义。</w:t>
      </w:r>
    </w:p>
    <w:p w:rsidR="00B710ED" w:rsidRDefault="00B710ED" w:rsidP="00B710ED">
      <w:pPr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3.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编写教案。</w:t>
      </w:r>
      <w:r>
        <w:rPr>
          <w:rFonts w:ascii="Times New Roman" w:eastAsia="仿宋" w:hAnsi="Times New Roman" w:cs="Times New Roman" w:hint="eastAsia"/>
          <w:sz w:val="32"/>
          <w:szCs w:val="32"/>
        </w:rPr>
        <w:t>教师可根据课程目标，赋予课程特定的工作任务和能力项，并拓展为特定班级的</w:t>
      </w:r>
      <w:r>
        <w:rPr>
          <w:rFonts w:ascii="Times New Roman" w:eastAsia="仿宋" w:hAnsi="Times New Roman" w:cs="Times New Roman"/>
          <w:sz w:val="32"/>
          <w:szCs w:val="32"/>
        </w:rPr>
        <w:t>教学内容</w:t>
      </w:r>
      <w:r>
        <w:rPr>
          <w:rFonts w:ascii="Times New Roman" w:eastAsia="仿宋" w:hAnsi="Times New Roman" w:cs="Times New Roman" w:hint="eastAsia"/>
          <w:sz w:val="32"/>
          <w:szCs w:val="32"/>
        </w:rPr>
        <w:t>。进而结合</w:t>
      </w:r>
      <w:r>
        <w:rPr>
          <w:rFonts w:ascii="Times New Roman" w:eastAsia="仿宋" w:hAnsi="Times New Roman" w:cs="Times New Roman"/>
          <w:sz w:val="32"/>
          <w:szCs w:val="32"/>
        </w:rPr>
        <w:t>教情学情</w:t>
      </w:r>
      <w:r>
        <w:rPr>
          <w:rFonts w:ascii="Times New Roman" w:eastAsia="仿宋" w:hAnsi="Times New Roman" w:cs="Times New Roman" w:hint="eastAsia"/>
          <w:sz w:val="32"/>
          <w:szCs w:val="32"/>
        </w:rPr>
        <w:t>定位课程形态，</w:t>
      </w:r>
      <w:r>
        <w:rPr>
          <w:rFonts w:ascii="Times New Roman" w:eastAsia="仿宋" w:hAnsi="Times New Roman" w:cs="Times New Roman"/>
          <w:sz w:val="32"/>
          <w:szCs w:val="32"/>
        </w:rPr>
        <w:t>确定施教环节、教学场地、教学资源</w:t>
      </w:r>
      <w:r>
        <w:rPr>
          <w:rFonts w:ascii="Times New Roman" w:eastAsia="仿宋" w:hAnsi="Times New Roman" w:cs="Times New Roman" w:hint="eastAsia"/>
          <w:sz w:val="32"/>
          <w:szCs w:val="32"/>
        </w:rPr>
        <w:t>，编排教学进程，最终形成一门课程的专门</w:t>
      </w:r>
      <w:r>
        <w:rPr>
          <w:rFonts w:ascii="Times New Roman" w:eastAsia="仿宋" w:hAnsi="Times New Roman" w:cs="Times New Roman"/>
          <w:sz w:val="32"/>
          <w:szCs w:val="32"/>
        </w:rPr>
        <w:t>教案。</w:t>
      </w:r>
    </w:p>
    <w:p w:rsidR="00B710ED" w:rsidRDefault="00B710ED" w:rsidP="00B710ED">
      <w:pPr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4.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教学评价。</w:t>
      </w:r>
      <w:r>
        <w:rPr>
          <w:rFonts w:ascii="Times New Roman" w:eastAsia="仿宋" w:hAnsi="Times New Roman" w:cs="Times New Roman" w:hint="eastAsia"/>
          <w:sz w:val="32"/>
          <w:szCs w:val="32"/>
        </w:rPr>
        <w:t>农广校一线校长可以本体系内容为素材，确定各类教学班的培养（培训）目标，对照梳理本区域各现场教学点（田间学校）的功能定位，组织研制各种教学主体、教学过程、教学行为的质量评价方案。</w:t>
      </w:r>
    </w:p>
    <w:p w:rsidR="00B710ED" w:rsidRDefault="00B710ED" w:rsidP="00B710ED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五、延伸建议</w:t>
      </w:r>
    </w:p>
    <w:p w:rsidR="00B710ED" w:rsidRDefault="00B710ED" w:rsidP="00B710ED">
      <w:pPr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一是以联系观点用好本体系。</w:t>
      </w:r>
      <w:r>
        <w:rPr>
          <w:rFonts w:ascii="Times New Roman" w:eastAsia="仿宋" w:hAnsi="Times New Roman" w:cs="Times New Roman" w:hint="eastAsia"/>
          <w:sz w:val="32"/>
          <w:szCs w:val="32"/>
        </w:rPr>
        <w:t>将该体系与中央校今年印发的《关于开展农民中职教育教学改革试点的通知》、《家庭农场生产经营专业教学标准（农广校版）》联系起来，结合两个文件关于抓教学的精神实质，因地制宜运用于各类教育培训工作。鼓励各级校按照自身需要，对能力项进行增减、</w:t>
      </w: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伸缩、位移、重组等多形式改造，转化为本地域、本单位的重点人才职业能力体系，并随教学实践的深入，不断进行演化、迭代。</w:t>
      </w:r>
      <w:r>
        <w:rPr>
          <w:rFonts w:ascii="楷体" w:eastAsia="楷体" w:hAnsi="楷体" w:cs="Times New Roman" w:hint="eastAsia"/>
          <w:b/>
          <w:sz w:val="32"/>
          <w:szCs w:val="32"/>
        </w:rPr>
        <w:t>二是以系统观念用好本体系。</w:t>
      </w:r>
      <w:r>
        <w:rPr>
          <w:rFonts w:ascii="Times New Roman" w:eastAsia="仿宋" w:hAnsi="Times New Roman" w:cs="Times New Roman" w:hint="eastAsia"/>
          <w:sz w:val="32"/>
          <w:szCs w:val="32"/>
        </w:rPr>
        <w:t>各教学单位在制定本级农教规划、建设特色专业、打造精品课程、开发专门教材、规范教学行为、探索“岗课赛证”综合育人机制等工作上，均应有效关照、利用、转化其中内容，并能形成专有话语体系，逐步讲清自身工作实质，讲好农教故事、农广校故事。</w:t>
      </w:r>
      <w:r>
        <w:rPr>
          <w:rFonts w:ascii="楷体" w:eastAsia="楷体" w:hAnsi="楷体" w:cs="Times New Roman" w:hint="eastAsia"/>
          <w:b/>
          <w:sz w:val="32"/>
          <w:szCs w:val="32"/>
        </w:rPr>
        <w:t>三是坚持量力而行用好本体系。</w:t>
      </w:r>
      <w:r>
        <w:rPr>
          <w:rFonts w:ascii="Times New Roman" w:eastAsia="仿宋" w:hAnsi="Times New Roman" w:cs="Times New Roman" w:hint="eastAsia"/>
          <w:sz w:val="32"/>
          <w:szCs w:val="32"/>
        </w:rPr>
        <w:t>能力导向是农民教育培训各方面工作和全过程环节都应贯穿的主线，</w:t>
      </w:r>
      <w:r>
        <w:rPr>
          <w:rFonts w:ascii="Times New Roman" w:eastAsia="仿宋" w:hAnsi="Times New Roman" w:cs="Times New Roman"/>
          <w:sz w:val="32"/>
          <w:szCs w:val="32"/>
        </w:rPr>
        <w:t>职业能力</w:t>
      </w:r>
      <w:r>
        <w:rPr>
          <w:rFonts w:ascii="Times New Roman" w:eastAsia="仿宋" w:hAnsi="Times New Roman" w:cs="Times New Roman" w:hint="eastAsia"/>
          <w:sz w:val="32"/>
          <w:szCs w:val="32"/>
        </w:rPr>
        <w:t>对农广校体系而言尚属新兴事物。应用工作不急于求成，建议各级校根据自身实际，统筹用好校内校外有关专业力量，明确应用的主要方面、主要渠道和主要措施。通过有计划、有步骤的尝试探索，推进本单位办学向专业化、系统化、精细化发展。</w:t>
      </w:r>
    </w:p>
    <w:p w:rsidR="00B710ED" w:rsidRDefault="00B710ED" w:rsidP="00B710ED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关于本职业能力体系的应用问题和建议，欢迎各级校来电来函咨询和探讨。</w:t>
      </w:r>
    </w:p>
    <w:p w:rsidR="00B710ED" w:rsidRDefault="00B710ED" w:rsidP="00B710ED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联系方式：中央农广校职业教育处</w:t>
      </w:r>
    </w:p>
    <w:p w:rsidR="00B710ED" w:rsidRDefault="00B710ED" w:rsidP="00B710ED">
      <w:pPr>
        <w:ind w:firstLineChars="700" w:firstLine="22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010-59196038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sz w:val="32"/>
          <w:szCs w:val="32"/>
        </w:rPr>
        <w:t>59196040</w:t>
      </w:r>
    </w:p>
    <w:p w:rsidR="00B710ED" w:rsidRDefault="00B710ED" w:rsidP="00B710ED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br w:type="page"/>
      </w:r>
    </w:p>
    <w:p w:rsidR="00C52176" w:rsidRDefault="00C52176"/>
    <w:sectPr w:rsidR="00C52176" w:rsidSect="00C52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10ED"/>
    <w:rsid w:val="00082459"/>
    <w:rsid w:val="001F4B6F"/>
    <w:rsid w:val="00215018"/>
    <w:rsid w:val="002D65B3"/>
    <w:rsid w:val="002F5C86"/>
    <w:rsid w:val="003F41CE"/>
    <w:rsid w:val="005C4012"/>
    <w:rsid w:val="007A29F0"/>
    <w:rsid w:val="007F7EA3"/>
    <w:rsid w:val="00A53EB0"/>
    <w:rsid w:val="00B61072"/>
    <w:rsid w:val="00B710ED"/>
    <w:rsid w:val="00B94774"/>
    <w:rsid w:val="00C13ADB"/>
    <w:rsid w:val="00C52176"/>
    <w:rsid w:val="00D03518"/>
    <w:rsid w:val="00D41BEB"/>
    <w:rsid w:val="00D55AB2"/>
    <w:rsid w:val="00E1523B"/>
    <w:rsid w:val="00ED05F4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2021-11-17T07:59:00Z</dcterms:created>
  <dcterms:modified xsi:type="dcterms:W3CDTF">2021-11-17T07:59:00Z</dcterms:modified>
</cp:coreProperties>
</file>