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4F8" w:rsidRDefault="00D214F8" w:rsidP="00D214F8">
      <w:pPr>
        <w:pStyle w:val="m5"/>
        <w:spacing w:line="440" w:lineRule="exact"/>
      </w:pPr>
    </w:p>
    <w:p w:rsidR="00D214F8" w:rsidRDefault="00D214F8" w:rsidP="00D214F8">
      <w:pPr>
        <w:pStyle w:val="m5"/>
        <w:spacing w:line="440" w:lineRule="exact"/>
      </w:pPr>
    </w:p>
    <w:p w:rsidR="00D214F8" w:rsidRDefault="00D214F8" w:rsidP="00D214F8">
      <w:pPr>
        <w:pStyle w:val="m5"/>
        <w:spacing w:line="440" w:lineRule="exact"/>
      </w:pPr>
    </w:p>
    <w:p w:rsidR="00BC356A" w:rsidRPr="00BC356A" w:rsidRDefault="00BC356A" w:rsidP="00542BE0">
      <w:pPr>
        <w:pStyle w:val="m5"/>
        <w:spacing w:line="360" w:lineRule="exact"/>
      </w:pPr>
    </w:p>
    <w:p w:rsidR="00D214F8" w:rsidRPr="00D214F8" w:rsidRDefault="00D214F8" w:rsidP="00D214F8">
      <w:pPr>
        <w:pStyle w:val="m5"/>
      </w:pPr>
      <w:r w:rsidRPr="00D214F8">
        <w:rPr>
          <w:rFonts w:hint="eastAsia"/>
        </w:rPr>
        <w:t>教职</w:t>
      </w:r>
      <w:proofErr w:type="gramStart"/>
      <w:r w:rsidRPr="00D214F8">
        <w:rPr>
          <w:rFonts w:hint="eastAsia"/>
        </w:rPr>
        <w:t>成司函</w:t>
      </w:r>
      <w:proofErr w:type="gramEnd"/>
      <w:r>
        <w:rPr>
          <w:rFonts w:hint="eastAsia"/>
        </w:rPr>
        <w:t>〔</w:t>
      </w:r>
      <w:r w:rsidRPr="00D214F8">
        <w:rPr>
          <w:rFonts w:hint="eastAsia"/>
        </w:rPr>
        <w:t>2017</w:t>
      </w:r>
      <w:r>
        <w:rPr>
          <w:rFonts w:hint="eastAsia"/>
        </w:rPr>
        <w:t>〕84</w:t>
      </w:r>
      <w:r w:rsidRPr="00D214F8">
        <w:rPr>
          <w:rFonts w:hint="eastAsia"/>
        </w:rPr>
        <w:t>号</w:t>
      </w:r>
    </w:p>
    <w:p w:rsidR="00D214F8" w:rsidRDefault="00D214F8" w:rsidP="00D214F8">
      <w:pPr>
        <w:pStyle w:val="m"/>
      </w:pPr>
    </w:p>
    <w:p w:rsidR="00D214F8" w:rsidRPr="00542BE0" w:rsidRDefault="00D214F8" w:rsidP="00D214F8">
      <w:pPr>
        <w:pStyle w:val="m1"/>
        <w:rPr>
          <w:sz w:val="44"/>
        </w:rPr>
      </w:pPr>
      <w:r w:rsidRPr="00542BE0">
        <w:rPr>
          <w:rFonts w:hint="eastAsia"/>
          <w:sz w:val="44"/>
        </w:rPr>
        <w:t>教育部职成司关于开展学习型城市建设</w:t>
      </w:r>
      <w:r w:rsidR="00542BE0">
        <w:rPr>
          <w:sz w:val="44"/>
        </w:rPr>
        <w:br/>
      </w:r>
      <w:r w:rsidRPr="00542BE0">
        <w:rPr>
          <w:rFonts w:hint="eastAsia"/>
          <w:sz w:val="44"/>
        </w:rPr>
        <w:t>监测项目实践的通知</w:t>
      </w:r>
    </w:p>
    <w:p w:rsidR="00D214F8" w:rsidRPr="00D214F8" w:rsidRDefault="00D214F8" w:rsidP="00D214F8">
      <w:pPr>
        <w:pStyle w:val="m"/>
      </w:pPr>
    </w:p>
    <w:p w:rsidR="00D214F8" w:rsidRPr="00D214F8" w:rsidRDefault="00D214F8" w:rsidP="00D214F8">
      <w:pPr>
        <w:pStyle w:val="m"/>
        <w:ind w:firstLineChars="0" w:firstLine="0"/>
      </w:pPr>
      <w:r w:rsidRPr="00D214F8">
        <w:rPr>
          <w:rFonts w:hint="eastAsia"/>
        </w:rPr>
        <w:t>北京市、上海市、浙江省、山西省、四川省、湖北省、湖南省教育厅（教委）、有关城市教育局</w:t>
      </w:r>
      <w:r>
        <w:rPr>
          <w:rFonts w:hint="eastAsia"/>
        </w:rPr>
        <w:t>，</w:t>
      </w:r>
      <w:r w:rsidRPr="00D214F8">
        <w:rPr>
          <w:rFonts w:hint="eastAsia"/>
        </w:rPr>
        <w:t>中国成人教育协会</w:t>
      </w:r>
      <w:r>
        <w:rPr>
          <w:rFonts w:hint="eastAsia"/>
        </w:rPr>
        <w:t>，</w:t>
      </w:r>
      <w:r w:rsidRPr="00D214F8">
        <w:rPr>
          <w:rFonts w:hint="eastAsia"/>
        </w:rPr>
        <w:t>有关单位：</w:t>
      </w:r>
    </w:p>
    <w:p w:rsidR="00D214F8" w:rsidRPr="00D214F8" w:rsidRDefault="00D214F8" w:rsidP="00D214F8">
      <w:pPr>
        <w:pStyle w:val="m"/>
      </w:pPr>
      <w:r w:rsidRPr="00D214F8">
        <w:rPr>
          <w:rFonts w:hint="eastAsia"/>
        </w:rPr>
        <w:t>为了落实《国家中长期教育改革和发展规划纲要（2010-2020年）》提出的“基本形成学习型社会建设”的战略任务,根据《教育部等七部门关于推进学习型城市建设的意见》（教职成〔2014〕10号，以下简称《意见》）关于“建立健全终身学习的统计信息体系，研制监测评估指标体系”的要求，实现到2020年，东中西部地区市（地）级以上城市学习型城市建设工作覆盖率分别达到90%、80%和70%的目标。经研究，决定在前期研究和自愿申报的基础上，委托中国成人教育协会在北京、上海、杭州、成都、武汉、长沙、宁波、太原等八个城市（以下简称“八个城市”）开展学习型城市建设监测项目实践，启动首批监测工作，探索学习型城市测评工作机制，验证监测指标体系，引导并加快推进我国学习型城市建</w:t>
      </w:r>
      <w:bookmarkStart w:id="0" w:name="_GoBack"/>
      <w:r w:rsidRPr="00D214F8">
        <w:rPr>
          <w:rFonts w:hint="eastAsia"/>
        </w:rPr>
        <w:t>设。现将有关事项通知如下：</w:t>
      </w:r>
    </w:p>
    <w:bookmarkEnd w:id="0"/>
    <w:p w:rsidR="00D214F8" w:rsidRPr="00D214F8" w:rsidRDefault="00D214F8" w:rsidP="00D214F8">
      <w:pPr>
        <w:pStyle w:val="m10"/>
        <w:ind w:firstLine="640"/>
      </w:pPr>
      <w:r w:rsidRPr="00D214F8">
        <w:rPr>
          <w:rFonts w:hint="eastAsia"/>
        </w:rPr>
        <w:lastRenderedPageBreak/>
        <w:t>一、重要意义</w:t>
      </w:r>
    </w:p>
    <w:p w:rsidR="00D214F8" w:rsidRPr="00D214F8" w:rsidRDefault="00D214F8" w:rsidP="00D214F8">
      <w:pPr>
        <w:pStyle w:val="m"/>
      </w:pPr>
      <w:r w:rsidRPr="00D214F8">
        <w:rPr>
          <w:rFonts w:hint="eastAsia"/>
        </w:rPr>
        <w:t>建设学习型社会是全面建成小康社会的重要内容。学习型城市建设是加快构建终身教育体系和建设全民学习、终身学习的学习型社会的重要基石。组织开展学习型城市建设监测工作，探索学习型城市测评工作机制，是引导和推动学习型城市建设的重要举措，对于实现基本形成学习型社会的目标具有十分重要的意义。八个城市要高度重视，加强组织领导，做好统筹协调和实施督促。</w:t>
      </w:r>
    </w:p>
    <w:p w:rsidR="00D214F8" w:rsidRPr="00D214F8" w:rsidRDefault="00D214F8" w:rsidP="00D214F8">
      <w:pPr>
        <w:pStyle w:val="m10"/>
        <w:ind w:firstLine="640"/>
      </w:pPr>
      <w:r w:rsidRPr="00D214F8">
        <w:rPr>
          <w:rFonts w:hint="eastAsia"/>
        </w:rPr>
        <w:t>二、主要目的和任务</w:t>
      </w:r>
    </w:p>
    <w:p w:rsidR="00D214F8" w:rsidRPr="00D214F8" w:rsidRDefault="00D214F8" w:rsidP="00D214F8">
      <w:pPr>
        <w:pStyle w:val="m"/>
      </w:pPr>
      <w:r w:rsidRPr="00D214F8">
        <w:rPr>
          <w:rFonts w:hint="eastAsia"/>
        </w:rPr>
        <w:t>开展学习型城市建设监测项目实践的主要目的是：通过监测项目实践，修改完善全国学习型城市建设监测指导性指标体系，科学衡量学习型城市建设的进程、质量和水平。主要任务是：验证和完善学习型城市监测的“关键特征指标”及其内涵；形成科学的学习型城市建设监测指标体系和工作机制；建立跨部门协作的组织方式和工作流程；建设学习型城市建设监测专家团队；搭建监测工作信息化交流与服务平台；建立学习型城市建设过程和建设水平的动态信息数据库；推动建立学习型城市建设监测工作常态化运行机制，引导和推动各地开展学习型城市建设。</w:t>
      </w:r>
    </w:p>
    <w:p w:rsidR="00D214F8" w:rsidRPr="00D214F8" w:rsidRDefault="00D214F8" w:rsidP="00D214F8">
      <w:pPr>
        <w:pStyle w:val="m10"/>
        <w:ind w:firstLine="640"/>
      </w:pPr>
      <w:r w:rsidRPr="00D214F8">
        <w:rPr>
          <w:rFonts w:hint="eastAsia"/>
        </w:rPr>
        <w:t>三、组织实施</w:t>
      </w:r>
    </w:p>
    <w:p w:rsidR="00D214F8" w:rsidRPr="00D214F8" w:rsidRDefault="00D214F8" w:rsidP="00D214F8">
      <w:pPr>
        <w:pStyle w:val="m"/>
      </w:pPr>
      <w:r w:rsidRPr="00D214F8">
        <w:rPr>
          <w:rFonts w:hint="eastAsia"/>
        </w:rPr>
        <w:t>（一）教育部职成司委托中国成人教育协会组建学习型城市监测项目指导专家组。专家组由中国成人教育协会、北京市教育科学研究院、教育行政部门、科研机构、参与城市及有关专家组成，主要负责监测项目的组织协调、过程指导</w:t>
      </w:r>
      <w:r w:rsidRPr="00D214F8">
        <w:rPr>
          <w:rFonts w:hint="eastAsia"/>
        </w:rPr>
        <w:lastRenderedPageBreak/>
        <w:t>和理论研究等工作。具体任务是：指导八个城市制订监测指标体系和工作方案,参与各城市监测工作，及时收集、分析、解决监测过程中出现的问题,开展项目的全面研究，修改完善监测指标体系,撰写监测工作项目研究报告及学习型城市建设发展报告等。</w:t>
      </w:r>
    </w:p>
    <w:p w:rsidR="00D214F8" w:rsidRPr="00D214F8" w:rsidRDefault="00D214F8" w:rsidP="00D214F8">
      <w:pPr>
        <w:pStyle w:val="m"/>
      </w:pPr>
      <w:r w:rsidRPr="00D214F8">
        <w:rPr>
          <w:rFonts w:hint="eastAsia"/>
        </w:rPr>
        <w:t>（二）各相关省级教育行政部门应按照《意见》精神，支持有关城市按照本通知及中国成人教育协会的有关要求开展监测工作，指导有关城市制订监测指标体系、工作方案和组织实施；认真总结、推广学习型城市建设的先进经验和做法，分析存在的问题，并加快推动本省学习型城市建设工作。</w:t>
      </w:r>
    </w:p>
    <w:p w:rsidR="00D214F8" w:rsidRPr="00D214F8" w:rsidRDefault="00D214F8" w:rsidP="00D214F8">
      <w:pPr>
        <w:pStyle w:val="m"/>
      </w:pPr>
      <w:r w:rsidRPr="00D214F8">
        <w:rPr>
          <w:rFonts w:hint="eastAsia"/>
        </w:rPr>
        <w:t>（三）八个城市要在省级教育行政部门指导下，按照《意见》精神建立领导工作机制，成立学习型城市监测工作专家组，并落实人员、经费等保障条件，做好监测工作。</w:t>
      </w:r>
    </w:p>
    <w:p w:rsidR="00D214F8" w:rsidRPr="00D214F8" w:rsidRDefault="00D214F8" w:rsidP="00D214F8">
      <w:pPr>
        <w:pStyle w:val="m10"/>
        <w:ind w:firstLine="640"/>
      </w:pPr>
      <w:r w:rsidRPr="00D214F8">
        <w:rPr>
          <w:rFonts w:hint="eastAsia"/>
        </w:rPr>
        <w:t>四、具体要求</w:t>
      </w:r>
    </w:p>
    <w:p w:rsidR="00D214F8" w:rsidRPr="00D214F8" w:rsidRDefault="00D214F8" w:rsidP="00D214F8">
      <w:pPr>
        <w:pStyle w:val="m"/>
      </w:pPr>
      <w:r w:rsidRPr="00D214F8">
        <w:rPr>
          <w:rFonts w:hint="eastAsia"/>
        </w:rPr>
        <w:t>（一）中国成人教育协会要在教育部职业教育与成人教育</w:t>
      </w:r>
      <w:proofErr w:type="gramStart"/>
      <w:r w:rsidRPr="00D214F8">
        <w:rPr>
          <w:rFonts w:hint="eastAsia"/>
        </w:rPr>
        <w:t>司指导</w:t>
      </w:r>
      <w:proofErr w:type="gramEnd"/>
      <w:r w:rsidRPr="00D214F8">
        <w:rPr>
          <w:rFonts w:hint="eastAsia"/>
        </w:rPr>
        <w:t>下，积极组织专家组开展学习型城市监测项目实践，指导八个城市专家</w:t>
      </w:r>
      <w:proofErr w:type="gramStart"/>
      <w:r w:rsidRPr="00D214F8">
        <w:rPr>
          <w:rFonts w:hint="eastAsia"/>
        </w:rPr>
        <w:t>组做好</w:t>
      </w:r>
      <w:proofErr w:type="gramEnd"/>
      <w:r w:rsidRPr="00D214F8">
        <w:rPr>
          <w:rFonts w:hint="eastAsia"/>
        </w:rPr>
        <w:t>监测及指标体系的修改完善工作，探索建立学习型城市监测和工作推进机制。</w:t>
      </w:r>
    </w:p>
    <w:p w:rsidR="00D214F8" w:rsidRPr="00D214F8" w:rsidRDefault="00D214F8" w:rsidP="00D214F8">
      <w:pPr>
        <w:pStyle w:val="m"/>
      </w:pPr>
      <w:r w:rsidRPr="00D214F8">
        <w:rPr>
          <w:rFonts w:hint="eastAsia"/>
        </w:rPr>
        <w:t>（二）各省级教育行政部门收到通知后，指导有关城市制定监测工作实施方案，组织推荐1名专家参加学习型城市建设监测项目指导专家组（表格见附件3），实施方案和专家名单于2017年10月15日前报送中国成人教育协会。中国成人教育协会10月25日前将专家组名单和项目实施方案报</w:t>
      </w:r>
      <w:r w:rsidRPr="00D214F8">
        <w:rPr>
          <w:rFonts w:hint="eastAsia"/>
        </w:rPr>
        <w:lastRenderedPageBreak/>
        <w:t>送我司。</w:t>
      </w:r>
    </w:p>
    <w:p w:rsidR="00D214F8" w:rsidRPr="00D214F8" w:rsidRDefault="00D214F8" w:rsidP="00D214F8">
      <w:pPr>
        <w:pStyle w:val="m"/>
      </w:pPr>
      <w:r w:rsidRPr="00D214F8">
        <w:rPr>
          <w:rFonts w:hint="eastAsia"/>
        </w:rPr>
        <w:t>（三）八个城市应于2018年1月底前将学习型城市监测工作报告、《全国学习型城市建设监测指标体系定性描述附表》（见附件2）、《全国学习型城市建设监测指导性指标体系（试行）》修改建议报告，报送省级教育行政部门、中国成人教育协会。</w:t>
      </w:r>
    </w:p>
    <w:p w:rsidR="00D214F8" w:rsidRPr="00D214F8" w:rsidRDefault="00D214F8" w:rsidP="00D214F8">
      <w:pPr>
        <w:pStyle w:val="m"/>
      </w:pPr>
      <w:r w:rsidRPr="00D214F8">
        <w:rPr>
          <w:rFonts w:hint="eastAsia"/>
        </w:rPr>
        <w:t>（四）2018年3月底之前，中国成人教育协会要将修改后的全国学习型城市建设监测指导性指标体系，八个城市监测工作报告及相关监测数据报教育部职成司。</w:t>
      </w:r>
    </w:p>
    <w:p w:rsidR="00D214F8" w:rsidRDefault="00D214F8" w:rsidP="00D214F8">
      <w:pPr>
        <w:pStyle w:val="m"/>
      </w:pPr>
      <w:r w:rsidRPr="00D214F8">
        <w:rPr>
          <w:rFonts w:hint="eastAsia"/>
        </w:rPr>
        <w:t>各地在</w:t>
      </w:r>
      <w:proofErr w:type="gramStart"/>
      <w:r w:rsidRPr="00D214F8">
        <w:rPr>
          <w:rFonts w:hint="eastAsia"/>
        </w:rPr>
        <w:t>开实施</w:t>
      </w:r>
      <w:proofErr w:type="gramEnd"/>
      <w:r w:rsidRPr="00D214F8">
        <w:rPr>
          <w:rFonts w:hint="eastAsia"/>
        </w:rPr>
        <w:t>学习型城市建设监测项目中要严格按照中央“八项规定”和有关会议精神等内容，节俭高效地开展工作。</w:t>
      </w:r>
    </w:p>
    <w:p w:rsidR="00D214F8" w:rsidRPr="00D214F8" w:rsidRDefault="00D214F8" w:rsidP="00D214F8">
      <w:pPr>
        <w:pStyle w:val="m"/>
        <w:ind w:firstLine="643"/>
      </w:pPr>
      <w:r w:rsidRPr="00D214F8">
        <w:rPr>
          <w:rFonts w:hint="eastAsia"/>
          <w:b/>
        </w:rPr>
        <w:t>教育部职业教育与成人教育司联系人：</w:t>
      </w:r>
      <w:r w:rsidRPr="00D214F8">
        <w:rPr>
          <w:rFonts w:hint="eastAsia"/>
        </w:rPr>
        <w:t>刘  英</w:t>
      </w:r>
      <w:r>
        <w:rPr>
          <w:rFonts w:hint="eastAsia"/>
        </w:rPr>
        <w:t>，</w:t>
      </w:r>
    </w:p>
    <w:p w:rsidR="00D214F8" w:rsidRPr="00D214F8" w:rsidRDefault="00D214F8" w:rsidP="00D214F8">
      <w:pPr>
        <w:pStyle w:val="m"/>
      </w:pPr>
      <w:r w:rsidRPr="00D214F8">
        <w:rPr>
          <w:rFonts w:hint="eastAsia"/>
        </w:rPr>
        <w:t>电话：010-66097851</w:t>
      </w:r>
      <w:r>
        <w:rPr>
          <w:rFonts w:hint="eastAsia"/>
        </w:rPr>
        <w:t>，</w:t>
      </w:r>
      <w:r w:rsidRPr="00D214F8">
        <w:rPr>
          <w:rFonts w:hint="eastAsia"/>
        </w:rPr>
        <w:t>邮箱：liuying@moe.edu.cn</w:t>
      </w:r>
      <w:r>
        <w:rPr>
          <w:rFonts w:hint="eastAsia"/>
        </w:rPr>
        <w:t>；</w:t>
      </w:r>
    </w:p>
    <w:p w:rsidR="00D214F8" w:rsidRPr="00D214F8" w:rsidRDefault="00D214F8" w:rsidP="00D214F8">
      <w:pPr>
        <w:pStyle w:val="m"/>
        <w:ind w:firstLine="643"/>
      </w:pPr>
      <w:r w:rsidRPr="00D214F8">
        <w:rPr>
          <w:rFonts w:hint="eastAsia"/>
          <w:b/>
        </w:rPr>
        <w:t>中国成人教育协会联系人：</w:t>
      </w:r>
      <w:r w:rsidRPr="00D214F8">
        <w:rPr>
          <w:rFonts w:hint="eastAsia"/>
        </w:rPr>
        <w:t>张昭文</w:t>
      </w:r>
      <w:r>
        <w:rPr>
          <w:rFonts w:hint="eastAsia"/>
        </w:rPr>
        <w:t>，</w:t>
      </w:r>
    </w:p>
    <w:p w:rsidR="00D214F8" w:rsidRPr="00D214F8" w:rsidRDefault="00D214F8" w:rsidP="00D214F8">
      <w:pPr>
        <w:pStyle w:val="m"/>
      </w:pPr>
      <w:r w:rsidRPr="00D214F8">
        <w:rPr>
          <w:rFonts w:hint="eastAsia"/>
        </w:rPr>
        <w:t>电话：13439009980</w:t>
      </w:r>
      <w:r>
        <w:rPr>
          <w:rFonts w:hint="eastAsia"/>
        </w:rPr>
        <w:t>，</w:t>
      </w:r>
      <w:r w:rsidRPr="00D214F8">
        <w:rPr>
          <w:rFonts w:hint="eastAsia"/>
        </w:rPr>
        <w:t>邮箱：zhangzhw@moe.edu.cn</w:t>
      </w:r>
      <w:r>
        <w:rPr>
          <w:rFonts w:hint="eastAsia"/>
        </w:rPr>
        <w:t>；</w:t>
      </w:r>
    </w:p>
    <w:p w:rsidR="00D214F8" w:rsidRPr="00D214F8" w:rsidRDefault="00D214F8" w:rsidP="00D214F8">
      <w:pPr>
        <w:pStyle w:val="m"/>
        <w:ind w:firstLine="643"/>
      </w:pPr>
      <w:r w:rsidRPr="00D214F8">
        <w:rPr>
          <w:rFonts w:hint="eastAsia"/>
          <w:b/>
        </w:rPr>
        <w:t>北京教育科学研究院联系人：</w:t>
      </w:r>
      <w:r w:rsidRPr="00D214F8">
        <w:rPr>
          <w:rFonts w:hint="eastAsia"/>
        </w:rPr>
        <w:t>张翠珠</w:t>
      </w:r>
      <w:r>
        <w:rPr>
          <w:rFonts w:hint="eastAsia"/>
        </w:rPr>
        <w:t>，</w:t>
      </w:r>
    </w:p>
    <w:p w:rsidR="00D214F8" w:rsidRPr="00D214F8" w:rsidRDefault="00D214F8" w:rsidP="00D214F8">
      <w:pPr>
        <w:pStyle w:val="m"/>
      </w:pPr>
      <w:r w:rsidRPr="00D214F8">
        <w:rPr>
          <w:rFonts w:hint="eastAsia"/>
        </w:rPr>
        <w:t>电话：010-87719419</w:t>
      </w:r>
      <w:r>
        <w:rPr>
          <w:rFonts w:hint="eastAsia"/>
        </w:rPr>
        <w:t>、</w:t>
      </w:r>
      <w:r w:rsidRPr="00D214F8">
        <w:rPr>
          <w:rFonts w:hint="eastAsia"/>
        </w:rPr>
        <w:t>13701384466</w:t>
      </w:r>
      <w:r>
        <w:rPr>
          <w:rFonts w:hint="eastAsia"/>
        </w:rPr>
        <w:t>，</w:t>
      </w:r>
    </w:p>
    <w:p w:rsidR="00D214F8" w:rsidRPr="00D214F8" w:rsidRDefault="00D214F8" w:rsidP="00D214F8">
      <w:pPr>
        <w:pStyle w:val="m"/>
      </w:pPr>
      <w:r w:rsidRPr="00D214F8">
        <w:rPr>
          <w:rFonts w:hint="eastAsia"/>
        </w:rPr>
        <w:t>邮箱：cuicui63@vip.sina.com</w:t>
      </w:r>
      <w:r>
        <w:rPr>
          <w:rFonts w:hint="eastAsia"/>
        </w:rPr>
        <w:t>。</w:t>
      </w:r>
    </w:p>
    <w:p w:rsidR="00D214F8" w:rsidRPr="00D214F8" w:rsidRDefault="00D214F8" w:rsidP="00D214F8">
      <w:pPr>
        <w:pStyle w:val="m"/>
      </w:pPr>
    </w:p>
    <w:p w:rsidR="00D214F8" w:rsidRPr="00D214F8" w:rsidRDefault="00D214F8" w:rsidP="00D214F8">
      <w:pPr>
        <w:pStyle w:val="m"/>
      </w:pPr>
      <w:r w:rsidRPr="00D214F8">
        <w:rPr>
          <w:rFonts w:hint="eastAsia"/>
        </w:rPr>
        <w:t>附件</w:t>
      </w:r>
      <w:r>
        <w:rPr>
          <w:rFonts w:hint="eastAsia"/>
        </w:rPr>
        <w:t xml:space="preserve">：1. </w:t>
      </w:r>
      <w:proofErr w:type="gramStart"/>
      <w:r w:rsidRPr="00D214F8">
        <w:rPr>
          <w:rFonts w:hint="eastAsia"/>
        </w:rPr>
        <w:t>《</w:t>
      </w:r>
      <w:proofErr w:type="gramEnd"/>
      <w:r w:rsidRPr="00D214F8">
        <w:rPr>
          <w:rFonts w:hint="eastAsia"/>
        </w:rPr>
        <w:t>全国学习型城市建设监测指导性指标体系</w:t>
      </w:r>
    </w:p>
    <w:p w:rsidR="00BC356A" w:rsidRDefault="00D214F8" w:rsidP="00BC356A">
      <w:pPr>
        <w:pStyle w:val="m"/>
        <w:ind w:firstLineChars="700" w:firstLine="2240"/>
      </w:pPr>
      <w:r w:rsidRPr="00D214F8">
        <w:rPr>
          <w:rFonts w:hint="eastAsia"/>
        </w:rPr>
        <w:t>（试行）》</w:t>
      </w:r>
    </w:p>
    <w:p w:rsidR="00D214F8" w:rsidRDefault="00D214F8" w:rsidP="00BC356A">
      <w:pPr>
        <w:pStyle w:val="m"/>
        <w:ind w:leftChars="800" w:left="2320" w:hangingChars="200" w:hanging="640"/>
      </w:pPr>
      <w:r w:rsidRPr="00D214F8">
        <w:rPr>
          <w:rFonts w:hint="eastAsia"/>
        </w:rPr>
        <w:t>2.</w:t>
      </w:r>
      <w:r>
        <w:t xml:space="preserve"> </w:t>
      </w:r>
      <w:r w:rsidRPr="00D214F8">
        <w:rPr>
          <w:rFonts w:hint="eastAsia"/>
        </w:rPr>
        <w:t>全国学习型城市建设监测指标体系定性描述附表</w:t>
      </w:r>
    </w:p>
    <w:p w:rsidR="00BC356A" w:rsidRDefault="00D214F8" w:rsidP="00BC356A">
      <w:pPr>
        <w:pStyle w:val="m"/>
        <w:ind w:firstLineChars="500" w:firstLine="1600"/>
      </w:pPr>
      <w:r w:rsidRPr="00D214F8">
        <w:rPr>
          <w:rFonts w:hint="eastAsia"/>
        </w:rPr>
        <w:lastRenderedPageBreak/>
        <w:t>3. 学习型城市建设监测项目指导专家组推荐表</w:t>
      </w:r>
    </w:p>
    <w:p w:rsidR="00BC356A" w:rsidRDefault="00BC356A" w:rsidP="00BC356A">
      <w:pPr>
        <w:pStyle w:val="m"/>
        <w:ind w:firstLineChars="500" w:firstLine="1600"/>
      </w:pPr>
    </w:p>
    <w:p w:rsidR="00D214F8" w:rsidRPr="00D214F8" w:rsidRDefault="00D214F8" w:rsidP="00BC356A">
      <w:pPr>
        <w:pStyle w:val="m"/>
        <w:ind w:firstLineChars="1200" w:firstLine="3840"/>
      </w:pPr>
      <w:r w:rsidRPr="00D214F8">
        <w:rPr>
          <w:rFonts w:hint="eastAsia"/>
        </w:rPr>
        <w:t>教育部职业教育与成人教育司</w:t>
      </w:r>
    </w:p>
    <w:p w:rsidR="00423CC7" w:rsidRDefault="00D214F8" w:rsidP="00D214F8">
      <w:pPr>
        <w:pStyle w:val="m"/>
        <w:sectPr w:rsidR="00423CC7" w:rsidSect="00BC356A">
          <w:footerReference w:type="default" r:id="rId6"/>
          <w:pgSz w:w="11906" w:h="16838" w:code="9"/>
          <w:pgMar w:top="1440" w:right="1800" w:bottom="1440" w:left="1800" w:header="851" w:footer="992" w:gutter="0"/>
          <w:cols w:space="425"/>
          <w:titlePg/>
          <w:docGrid w:type="lines" w:linePitch="312"/>
        </w:sectPr>
      </w:pPr>
      <w:r w:rsidRPr="00D214F8">
        <w:rPr>
          <w:rFonts w:hint="eastAsia"/>
        </w:rPr>
        <w:t xml:space="preserve">                       </w:t>
      </w:r>
      <w:r w:rsidR="00BC356A">
        <w:t xml:space="preserve">   </w:t>
      </w:r>
      <w:r w:rsidRPr="00D214F8">
        <w:rPr>
          <w:rFonts w:hint="eastAsia"/>
        </w:rPr>
        <w:t>2017年9月</w:t>
      </w:r>
      <w:r>
        <w:t>19</w:t>
      </w:r>
      <w:r w:rsidRPr="00D214F8">
        <w:rPr>
          <w:rFonts w:hint="eastAsia"/>
        </w:rPr>
        <w:t>日</w:t>
      </w:r>
    </w:p>
    <w:p w:rsidR="009C39BF" w:rsidRDefault="00423CC7" w:rsidP="00423CC7">
      <w:pPr>
        <w:pStyle w:val="m"/>
        <w:ind w:firstLineChars="0" w:firstLine="0"/>
      </w:pPr>
      <w:r>
        <w:rPr>
          <w:rFonts w:hint="eastAsia"/>
        </w:rPr>
        <w:lastRenderedPageBreak/>
        <w:t>附件1</w:t>
      </w:r>
    </w:p>
    <w:p w:rsidR="00423CC7" w:rsidRDefault="00423CC7" w:rsidP="00423CC7">
      <w:pPr>
        <w:pStyle w:val="m1"/>
      </w:pPr>
      <w:r w:rsidRPr="00FB5393">
        <w:rPr>
          <w:rFonts w:hint="eastAsia"/>
        </w:rPr>
        <w:t>全国学习型城市建设监测指导性指标体系（试行）</w:t>
      </w:r>
    </w:p>
    <w:p w:rsidR="00423CC7" w:rsidRDefault="00423CC7" w:rsidP="00423CC7">
      <w:pPr>
        <w:pStyle w:val="m"/>
        <w:spacing w:line="360" w:lineRule="exact"/>
        <w:ind w:firstLineChars="0" w:firstLine="0"/>
      </w:pP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7"/>
        <w:gridCol w:w="4146"/>
        <w:gridCol w:w="693"/>
        <w:gridCol w:w="3346"/>
      </w:tblGrid>
      <w:tr w:rsidR="00423CC7" w:rsidRPr="00D72129" w:rsidTr="00423CC7">
        <w:trPr>
          <w:trHeight w:val="144"/>
          <w:tblHeader/>
          <w:jc w:val="center"/>
        </w:trPr>
        <w:tc>
          <w:tcPr>
            <w:tcW w:w="846" w:type="dxa"/>
            <w:vAlign w:val="center"/>
          </w:tcPr>
          <w:p w:rsidR="00423CC7" w:rsidRPr="00D72129" w:rsidRDefault="00423CC7" w:rsidP="00423CC7">
            <w:pPr>
              <w:spacing w:line="240" w:lineRule="exact"/>
              <w:jc w:val="center"/>
              <w:rPr>
                <w:rFonts w:ascii="仿宋_GB2312" w:eastAsia="仿宋_GB2312" w:cs="宋体"/>
                <w:b/>
                <w:bCs/>
              </w:rPr>
            </w:pPr>
            <w:r w:rsidRPr="00D72129">
              <w:rPr>
                <w:rFonts w:ascii="仿宋_GB2312" w:eastAsia="仿宋_GB2312" w:hAnsi="宋体" w:cs="宋体" w:hint="eastAsia"/>
                <w:b/>
                <w:bCs/>
              </w:rPr>
              <w:t>宏观</w:t>
            </w:r>
          </w:p>
          <w:p w:rsidR="00423CC7" w:rsidRPr="00D72129" w:rsidRDefault="00423CC7" w:rsidP="00423CC7">
            <w:pPr>
              <w:spacing w:line="240" w:lineRule="exact"/>
              <w:jc w:val="center"/>
              <w:rPr>
                <w:rFonts w:ascii="仿宋_GB2312" w:eastAsia="仿宋_GB2312" w:cs="宋体"/>
                <w:b/>
                <w:bCs/>
              </w:rPr>
            </w:pPr>
            <w:r w:rsidRPr="00D72129">
              <w:rPr>
                <w:rFonts w:ascii="仿宋_GB2312" w:eastAsia="仿宋_GB2312" w:hAnsi="宋体" w:cs="宋体" w:hint="eastAsia"/>
                <w:b/>
                <w:bCs/>
              </w:rPr>
              <w:t>框架</w:t>
            </w:r>
          </w:p>
        </w:tc>
        <w:tc>
          <w:tcPr>
            <w:tcW w:w="1137" w:type="dxa"/>
            <w:vAlign w:val="center"/>
          </w:tcPr>
          <w:p w:rsidR="00423CC7" w:rsidRPr="00423CC7" w:rsidRDefault="00423CC7" w:rsidP="00423CC7">
            <w:pPr>
              <w:spacing w:line="240" w:lineRule="exact"/>
              <w:jc w:val="center"/>
              <w:rPr>
                <w:rFonts w:ascii="仿宋_GB2312" w:eastAsia="仿宋_GB2312" w:hAnsi="宋体" w:cs="宋体"/>
                <w:b/>
                <w:bCs/>
              </w:rPr>
            </w:pPr>
            <w:r w:rsidRPr="00D72129">
              <w:rPr>
                <w:rFonts w:ascii="仿宋_GB2312" w:eastAsia="仿宋_GB2312" w:hAnsi="宋体" w:cs="宋体" w:hint="eastAsia"/>
                <w:b/>
                <w:bCs/>
              </w:rPr>
              <w:t>结构要素</w:t>
            </w:r>
          </w:p>
        </w:tc>
        <w:tc>
          <w:tcPr>
            <w:tcW w:w="4146" w:type="dxa"/>
            <w:vAlign w:val="center"/>
          </w:tcPr>
          <w:p w:rsidR="00423CC7" w:rsidRPr="00423CC7" w:rsidRDefault="00423CC7" w:rsidP="00423CC7">
            <w:pPr>
              <w:spacing w:line="240" w:lineRule="exact"/>
              <w:jc w:val="center"/>
              <w:rPr>
                <w:rFonts w:ascii="仿宋_GB2312" w:eastAsia="仿宋_GB2312" w:hAnsi="宋体" w:cs="宋体"/>
                <w:b/>
                <w:bCs/>
              </w:rPr>
            </w:pPr>
            <w:r w:rsidRPr="00D72129">
              <w:rPr>
                <w:rFonts w:ascii="仿宋_GB2312" w:eastAsia="仿宋_GB2312" w:hAnsi="宋体" w:cs="宋体" w:hint="eastAsia"/>
                <w:b/>
                <w:bCs/>
              </w:rPr>
              <w:t>关键指标</w:t>
            </w:r>
          </w:p>
        </w:tc>
        <w:tc>
          <w:tcPr>
            <w:tcW w:w="693" w:type="dxa"/>
            <w:vAlign w:val="center"/>
          </w:tcPr>
          <w:p w:rsidR="00423CC7" w:rsidRPr="00423CC7" w:rsidRDefault="00423CC7" w:rsidP="00423CC7">
            <w:pPr>
              <w:spacing w:line="240" w:lineRule="exact"/>
              <w:jc w:val="center"/>
              <w:rPr>
                <w:rFonts w:ascii="仿宋_GB2312" w:eastAsia="仿宋_GB2312" w:hAnsi="宋体" w:cs="宋体"/>
                <w:b/>
                <w:bCs/>
              </w:rPr>
            </w:pPr>
            <w:r w:rsidRPr="00D72129">
              <w:rPr>
                <w:rFonts w:ascii="仿宋_GB2312" w:eastAsia="仿宋_GB2312" w:hAnsi="宋体" w:cs="宋体" w:hint="eastAsia"/>
                <w:b/>
                <w:bCs/>
              </w:rPr>
              <w:t>数据填写</w:t>
            </w:r>
          </w:p>
        </w:tc>
        <w:tc>
          <w:tcPr>
            <w:tcW w:w="3346" w:type="dxa"/>
            <w:vAlign w:val="center"/>
          </w:tcPr>
          <w:p w:rsidR="00423CC7" w:rsidRPr="00423CC7" w:rsidRDefault="00423CC7" w:rsidP="00423CC7">
            <w:pPr>
              <w:spacing w:line="240" w:lineRule="exact"/>
              <w:jc w:val="center"/>
              <w:rPr>
                <w:rFonts w:ascii="仿宋_GB2312" w:eastAsia="仿宋_GB2312" w:hAnsi="宋体" w:cs="宋体"/>
                <w:b/>
                <w:bCs/>
              </w:rPr>
            </w:pPr>
            <w:r w:rsidRPr="00D72129">
              <w:rPr>
                <w:rFonts w:ascii="仿宋_GB2312" w:eastAsia="仿宋_GB2312" w:hAnsi="宋体" w:cs="宋体" w:hint="eastAsia"/>
                <w:b/>
                <w:bCs/>
              </w:rPr>
              <w:t>信息性质说明</w:t>
            </w:r>
          </w:p>
        </w:tc>
      </w:tr>
      <w:tr w:rsidR="00423CC7" w:rsidRPr="00D72129" w:rsidTr="00423CC7">
        <w:trPr>
          <w:trHeight w:val="921"/>
          <w:jc w:val="center"/>
        </w:trPr>
        <w:tc>
          <w:tcPr>
            <w:tcW w:w="846" w:type="dxa"/>
            <w:vMerge w:val="restart"/>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1.保障</w:t>
            </w:r>
          </w:p>
        </w:tc>
        <w:tc>
          <w:tcPr>
            <w:tcW w:w="1137" w:type="dxa"/>
            <w:vMerge w:val="restart"/>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1.1认识</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Year" w:val="1899"/>
                <w:attr w:name="Month" w:val="12"/>
                <w:attr w:name="Day" w:val="30"/>
                <w:attr w:name="IsLunarDate" w:val="False"/>
                <w:attr w:name="IsROCDate" w:val="False"/>
              </w:smartTagPr>
              <w:r w:rsidRPr="00D72129">
                <w:rPr>
                  <w:rFonts w:ascii="仿宋_GB2312" w:eastAsia="仿宋_GB2312" w:hAnsi="宋体" w:cs="宋体" w:hint="eastAsia"/>
                </w:rPr>
                <w:t>1.1.1</w:t>
              </w:r>
            </w:smartTag>
            <w:r w:rsidRPr="00D72129">
              <w:rPr>
                <w:rFonts w:ascii="仿宋_GB2312" w:eastAsia="仿宋_GB2312" w:hAnsi="宋体" w:cs="宋体" w:hint="eastAsia"/>
              </w:rPr>
              <w:t>市委市政府对建设学习型城市的重要意义有较高的认识，将学习型城市建设列入当地经济社会发展规划，有明确的目标和清晰的工作思路</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提供市委市政府出台的相应文件或主要领导相关报告、讲话，并展示市委市政府主要领导出席学习型城市重要活动的照片及资料等。填写相关报告、讲话题目及时间。</w:t>
            </w:r>
          </w:p>
        </w:tc>
      </w:tr>
      <w:tr w:rsidR="00423CC7" w:rsidRPr="00D72129" w:rsidTr="00423CC7">
        <w:trPr>
          <w:trHeight w:val="772"/>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Year" w:val="1899"/>
                <w:attr w:name="Month" w:val="12"/>
                <w:attr w:name="Day" w:val="30"/>
                <w:attr w:name="IsLunarDate" w:val="False"/>
                <w:attr w:name="IsROCDate" w:val="False"/>
              </w:smartTagPr>
              <w:r w:rsidRPr="00D72129">
                <w:rPr>
                  <w:rFonts w:ascii="仿宋_GB2312" w:eastAsia="仿宋_GB2312" w:hAnsi="宋体" w:cs="宋体" w:hint="eastAsia"/>
                </w:rPr>
                <w:t>1.1.2</w:t>
              </w:r>
            </w:smartTag>
            <w:r w:rsidRPr="00D72129">
              <w:rPr>
                <w:rFonts w:ascii="仿宋_GB2312" w:eastAsia="仿宋_GB2312" w:hAnsi="宋体" w:cs="宋体" w:hint="eastAsia"/>
              </w:rPr>
              <w:t>广泛宣传学习型城市建设工作的意义和作用，不断提升共识，营造良好的建设环境和终身学习氛围</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有各种宣传资料、各类网站、会议、讲座和其他宣传活动的记载与统计数据，列出年度时间</w:t>
            </w:r>
          </w:p>
        </w:tc>
      </w:tr>
      <w:tr w:rsidR="00423CC7" w:rsidRPr="00D72129" w:rsidTr="00423CC7">
        <w:trPr>
          <w:trHeight w:val="622"/>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restart"/>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1.2组织</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1.2.1</w:t>
              </w:r>
            </w:smartTag>
            <w:r w:rsidRPr="00D72129">
              <w:rPr>
                <w:rFonts w:ascii="仿宋_GB2312" w:eastAsia="仿宋_GB2312" w:hAnsi="宋体" w:cs="宋体" w:hint="eastAsia"/>
              </w:rPr>
              <w:t>建有</w:t>
            </w:r>
            <w:r w:rsidRPr="00423CC7">
              <w:rPr>
                <w:rFonts w:ascii="仿宋_GB2312" w:eastAsia="仿宋_GB2312" w:hAnsi="宋体" w:cs="宋体" w:hint="eastAsia"/>
              </w:rPr>
              <w:t>多部门共同参与的</w:t>
            </w:r>
            <w:r w:rsidRPr="00D72129">
              <w:rPr>
                <w:rFonts w:ascii="仿宋_GB2312" w:eastAsia="仿宋_GB2312" w:hAnsi="宋体" w:cs="宋体" w:hint="eastAsia"/>
              </w:rPr>
              <w:t>推进学习型城市建设的领导、管理和组织机构</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列出名称和成立时间。有工作部署相关文件。</w:t>
            </w:r>
          </w:p>
        </w:tc>
      </w:tr>
      <w:tr w:rsidR="00423CC7" w:rsidRPr="00D72129" w:rsidTr="00423CC7">
        <w:trPr>
          <w:trHeight w:val="622"/>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1.2.2</w:t>
              </w:r>
            </w:smartTag>
            <w:r w:rsidRPr="00D72129">
              <w:rPr>
                <w:rFonts w:ascii="仿宋_GB2312" w:eastAsia="仿宋_GB2312" w:hAnsi="宋体" w:cs="宋体" w:hint="eastAsia"/>
              </w:rPr>
              <w:t>建有推进学习型城市建设工作指导、服务机构</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列出名称、成立时间和主要工作</w:t>
            </w:r>
          </w:p>
        </w:tc>
      </w:tr>
      <w:tr w:rsidR="00423CC7" w:rsidRPr="00D72129" w:rsidTr="00423CC7">
        <w:trPr>
          <w:trHeight w:val="610"/>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restart"/>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1.3制度</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1.3.1</w:t>
              </w:r>
            </w:smartTag>
            <w:r w:rsidRPr="00D72129">
              <w:rPr>
                <w:rFonts w:ascii="仿宋_GB2312" w:eastAsia="仿宋_GB2312" w:hAnsi="宋体" w:cs="宋体" w:hint="eastAsia"/>
              </w:rPr>
              <w:t>颁布了有关促进终身学习的条例、指导性政策文件；制定了学习型城市建设的专项规划、计划</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列出法规、文件名称和年度时间</w:t>
            </w:r>
          </w:p>
        </w:tc>
      </w:tr>
      <w:tr w:rsidR="00423CC7" w:rsidRPr="00D72129" w:rsidTr="00423CC7">
        <w:trPr>
          <w:trHeight w:val="610"/>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1.3.2</w:t>
              </w:r>
            </w:smartTag>
            <w:r w:rsidRPr="00D72129">
              <w:rPr>
                <w:rFonts w:ascii="仿宋_GB2312" w:eastAsia="仿宋_GB2312" w:hAnsi="宋体" w:cs="宋体" w:hint="eastAsia"/>
              </w:rPr>
              <w:t>开展学习型城市建设评价和监测活动；建立检查、督导等相关制度</w:t>
            </w:r>
            <w:r w:rsidRPr="00423CC7">
              <w:rPr>
                <w:rFonts w:ascii="仿宋_GB2312" w:eastAsia="仿宋_GB2312" w:hAnsi="宋体" w:cs="宋体" w:hint="eastAsia"/>
              </w:rPr>
              <w:t xml:space="preserve"> </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评价、监测、督导制度文件及组织成员名单；活动记录。</w:t>
            </w:r>
          </w:p>
        </w:tc>
      </w:tr>
      <w:tr w:rsidR="00423CC7" w:rsidRPr="00D72129" w:rsidTr="00423CC7">
        <w:trPr>
          <w:trHeight w:val="288"/>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1.3.3</w:t>
              </w:r>
            </w:smartTag>
            <w:r w:rsidRPr="00D72129">
              <w:rPr>
                <w:rFonts w:ascii="仿宋_GB2312" w:eastAsia="仿宋_GB2312" w:hAnsi="宋体" w:cs="宋体" w:hint="eastAsia"/>
              </w:rPr>
              <w:t>建立和完善社区教育队伍管理和培训制度；制定了对服务学习型城市建设优秀单位和优秀学习者奖励的相关政策</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列出文件名称和年度时间</w:t>
            </w:r>
          </w:p>
        </w:tc>
      </w:tr>
      <w:tr w:rsidR="00423CC7" w:rsidRPr="00D72129" w:rsidTr="00423CC7">
        <w:trPr>
          <w:trHeight w:val="311"/>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restart"/>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1.4经费</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1.4.1</w:t>
              </w:r>
            </w:smartTag>
            <w:r w:rsidRPr="00423CC7">
              <w:rPr>
                <w:rFonts w:ascii="仿宋_GB2312" w:eastAsia="仿宋_GB2312" w:hAnsi="宋体" w:cs="宋体" w:hint="eastAsia"/>
              </w:rPr>
              <w:t>城市公共教育经费支出占GDP的比例；财政性教育投入占财政支出比例（常住人口人均教育经费支出）</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财政部门统计数据</w:t>
            </w:r>
          </w:p>
        </w:tc>
      </w:tr>
      <w:tr w:rsidR="00423CC7" w:rsidRPr="00D72129" w:rsidTr="00423CC7">
        <w:trPr>
          <w:trHeight w:val="599"/>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1.4.2</w:t>
              </w:r>
            </w:smartTag>
            <w:r w:rsidRPr="00D72129">
              <w:rPr>
                <w:rFonts w:ascii="仿宋_GB2312" w:eastAsia="仿宋_GB2312" w:hAnsi="宋体" w:cs="宋体" w:hint="eastAsia"/>
              </w:rPr>
              <w:t>职业教育经费占城市教育费附加的百分比</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财政部门统计数据</w:t>
            </w:r>
          </w:p>
        </w:tc>
      </w:tr>
      <w:tr w:rsidR="00423CC7" w:rsidRPr="00D72129" w:rsidTr="00423CC7">
        <w:trPr>
          <w:trHeight w:val="599"/>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1.4.3</w:t>
              </w:r>
            </w:smartTag>
            <w:r w:rsidRPr="00423CC7">
              <w:rPr>
                <w:rFonts w:ascii="仿宋_GB2312" w:eastAsia="仿宋_GB2312" w:hAnsi="宋体" w:cs="宋体" w:hint="eastAsia"/>
              </w:rPr>
              <w:t>用于城乡社区教育和郊区农民教育以及其他成人继续教育的经费占城市公共教育经费的百分比</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财政部门统计数据</w:t>
            </w:r>
          </w:p>
        </w:tc>
      </w:tr>
      <w:tr w:rsidR="00423CC7" w:rsidRPr="00D72129" w:rsidTr="00423CC7">
        <w:trPr>
          <w:trHeight w:val="334"/>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1.4.4</w:t>
              </w:r>
            </w:smartTag>
            <w:r w:rsidRPr="00D72129">
              <w:rPr>
                <w:rFonts w:ascii="仿宋_GB2312" w:eastAsia="仿宋_GB2312" w:hAnsi="宋体" w:cs="宋体" w:hint="eastAsia"/>
              </w:rPr>
              <w:t>能够按工资总额的1.5%至2.5%足额提取员工教育培训经费的企业比例</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相关中等规模以上企业统计数据</w:t>
            </w:r>
          </w:p>
        </w:tc>
      </w:tr>
      <w:tr w:rsidR="00423CC7" w:rsidRPr="00D72129" w:rsidTr="00423CC7">
        <w:trPr>
          <w:trHeight w:val="334"/>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1.4.5</w:t>
              </w:r>
            </w:smartTag>
            <w:r w:rsidRPr="00D72129">
              <w:rPr>
                <w:rFonts w:ascii="仿宋_GB2312" w:eastAsia="仿宋_GB2312" w:hAnsi="宋体" w:cs="宋体" w:hint="eastAsia"/>
              </w:rPr>
              <w:t>建立多渠道筹措学习型城市建设经费的投入机制。</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相关政策、文件及实施情况</w:t>
            </w:r>
          </w:p>
        </w:tc>
      </w:tr>
      <w:tr w:rsidR="00423CC7" w:rsidRPr="00D72129" w:rsidTr="00423CC7">
        <w:trPr>
          <w:trHeight w:val="334"/>
          <w:jc w:val="center"/>
        </w:trPr>
        <w:tc>
          <w:tcPr>
            <w:tcW w:w="846" w:type="dxa"/>
            <w:vMerge w:val="restart"/>
            <w:vAlign w:val="center"/>
          </w:tcPr>
          <w:p w:rsidR="00423CC7" w:rsidRPr="00423CC7" w:rsidRDefault="00423CC7" w:rsidP="00423CC7">
            <w:pPr>
              <w:spacing w:line="240" w:lineRule="exact"/>
              <w:rPr>
                <w:rFonts w:ascii="仿宋_GB2312" w:eastAsia="仿宋_GB2312" w:hAnsi="宋体" w:cs="宋体"/>
              </w:rPr>
            </w:pPr>
          </w:p>
          <w:p w:rsidR="00423CC7" w:rsidRPr="00423CC7" w:rsidRDefault="00423CC7" w:rsidP="00423CC7">
            <w:pPr>
              <w:spacing w:line="240" w:lineRule="exact"/>
              <w:rPr>
                <w:rFonts w:ascii="仿宋_GB2312" w:eastAsia="仿宋_GB2312" w:hAnsi="宋体" w:cs="宋体"/>
              </w:rPr>
            </w:pPr>
          </w:p>
          <w:p w:rsidR="00423CC7" w:rsidRPr="00423CC7" w:rsidRDefault="00423CC7" w:rsidP="00423CC7">
            <w:pPr>
              <w:spacing w:line="240" w:lineRule="exact"/>
              <w:rPr>
                <w:rFonts w:ascii="仿宋_GB2312" w:eastAsia="仿宋_GB2312" w:hAnsi="宋体" w:cs="宋体"/>
              </w:rPr>
            </w:pPr>
          </w:p>
          <w:p w:rsidR="00423CC7" w:rsidRPr="00423CC7" w:rsidRDefault="00423CC7" w:rsidP="00423CC7">
            <w:pPr>
              <w:spacing w:line="240" w:lineRule="exact"/>
              <w:rPr>
                <w:rFonts w:ascii="仿宋_GB2312" w:eastAsia="仿宋_GB2312" w:hAnsi="宋体" w:cs="宋体"/>
              </w:rPr>
            </w:pPr>
          </w:p>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2.终身教育与终身学习服务体系建设</w:t>
            </w:r>
          </w:p>
        </w:tc>
        <w:tc>
          <w:tcPr>
            <w:tcW w:w="1137" w:type="dxa"/>
            <w:vMerge w:val="restart"/>
            <w:vAlign w:val="center"/>
          </w:tcPr>
          <w:p w:rsid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2.1</w:t>
            </w:r>
          </w:p>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学校教育</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2.1.1</w:t>
              </w:r>
            </w:smartTag>
            <w:r w:rsidRPr="00D72129">
              <w:rPr>
                <w:rFonts w:ascii="仿宋_GB2312" w:eastAsia="仿宋_GB2312" w:hAnsi="宋体" w:cs="宋体" w:hint="eastAsia"/>
              </w:rPr>
              <w:t>学前三年毛入园率</w:t>
            </w:r>
            <w:r w:rsidRPr="00423CC7">
              <w:rPr>
                <w:rFonts w:ascii="仿宋_GB2312" w:eastAsia="仿宋_GB2312" w:hAnsi="宋体" w:cs="宋体" w:hint="eastAsia"/>
              </w:rPr>
              <w:t xml:space="preserve"> </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教育统计数据</w:t>
            </w:r>
          </w:p>
        </w:tc>
      </w:tr>
      <w:tr w:rsidR="00423CC7" w:rsidRPr="00D72129" w:rsidTr="00423CC7">
        <w:trPr>
          <w:trHeight w:val="334"/>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D72129" w:rsidRDefault="00423CC7" w:rsidP="00423CC7">
            <w:pPr>
              <w:spacing w:line="240" w:lineRule="exact"/>
              <w:rPr>
                <w:rFonts w:ascii="仿宋_GB2312" w:eastAsia="仿宋_GB2312" w:hAnsi="宋体" w:cs="宋体"/>
              </w:rPr>
            </w:pPr>
          </w:p>
        </w:tc>
        <w:tc>
          <w:tcPr>
            <w:tcW w:w="4146" w:type="dxa"/>
            <w:vAlign w:val="center"/>
          </w:tcPr>
          <w:p w:rsidR="00423CC7" w:rsidRPr="00D72129"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2.1.2</w:t>
              </w:r>
            </w:smartTag>
            <w:r w:rsidRPr="00D72129">
              <w:rPr>
                <w:rFonts w:ascii="仿宋_GB2312" w:eastAsia="仿宋_GB2312" w:hAnsi="宋体" w:cs="宋体" w:hint="eastAsia"/>
              </w:rPr>
              <w:t>义务教育辍学率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D72129"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教育统计数据</w:t>
            </w:r>
          </w:p>
        </w:tc>
      </w:tr>
      <w:tr w:rsidR="00423CC7" w:rsidRPr="00D72129" w:rsidTr="00423CC7">
        <w:trPr>
          <w:trHeight w:val="334"/>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D72129" w:rsidRDefault="00423CC7" w:rsidP="00423CC7">
            <w:pPr>
              <w:spacing w:line="240" w:lineRule="exact"/>
              <w:rPr>
                <w:rFonts w:ascii="仿宋_GB2312" w:eastAsia="仿宋_GB2312" w:hAnsi="宋体" w:cs="宋体"/>
              </w:rPr>
            </w:pPr>
          </w:p>
        </w:tc>
        <w:tc>
          <w:tcPr>
            <w:tcW w:w="4146" w:type="dxa"/>
            <w:vAlign w:val="center"/>
          </w:tcPr>
          <w:p w:rsidR="00423CC7" w:rsidRPr="00D72129"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2.1.3</w:t>
              </w:r>
            </w:smartTag>
            <w:r w:rsidRPr="00D72129">
              <w:rPr>
                <w:rFonts w:ascii="仿宋_GB2312" w:eastAsia="仿宋_GB2312" w:hAnsi="宋体" w:cs="宋体" w:hint="eastAsia"/>
              </w:rPr>
              <w:t>高中阶段教育入学率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D72129"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教育统计数据</w:t>
            </w:r>
          </w:p>
        </w:tc>
      </w:tr>
      <w:tr w:rsidR="00423CC7" w:rsidRPr="00D72129" w:rsidTr="00423CC7">
        <w:trPr>
          <w:trHeight w:val="322"/>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2.1.4</w:t>
              </w:r>
            </w:smartTag>
            <w:r w:rsidRPr="00D72129">
              <w:rPr>
                <w:rFonts w:ascii="仿宋_GB2312" w:eastAsia="仿宋_GB2312" w:hAnsi="宋体" w:cs="宋体" w:hint="eastAsia"/>
              </w:rPr>
              <w:t>高等教育毛入学率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教育统计数据</w:t>
            </w:r>
          </w:p>
        </w:tc>
      </w:tr>
      <w:tr w:rsidR="00423CC7" w:rsidRPr="00D72129" w:rsidTr="00423CC7">
        <w:trPr>
          <w:trHeight w:val="311"/>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2.1.5</w:t>
              </w:r>
            </w:smartTag>
            <w:r w:rsidRPr="00D72129">
              <w:rPr>
                <w:rFonts w:ascii="仿宋_GB2312" w:eastAsia="仿宋_GB2312" w:hAnsi="宋体" w:cs="宋体" w:hint="eastAsia"/>
              </w:rPr>
              <w:t>高中阶段普通高中与中职年招生比例</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教育统计数据</w:t>
            </w:r>
          </w:p>
        </w:tc>
      </w:tr>
      <w:tr w:rsidR="00423CC7" w:rsidRPr="00D72129" w:rsidTr="00423CC7">
        <w:trPr>
          <w:trHeight w:val="324"/>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2.1.6</w:t>
              </w:r>
            </w:smartTag>
            <w:r w:rsidRPr="00D72129">
              <w:rPr>
                <w:rFonts w:ascii="仿宋_GB2312" w:eastAsia="仿宋_GB2312" w:hAnsi="宋体" w:cs="宋体" w:hint="eastAsia"/>
              </w:rPr>
              <w:t>进城务工人员子女入学率。残疾儿童（包括聋哑、智障、肢体残疾等）入学率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教育统计数据</w:t>
            </w:r>
          </w:p>
        </w:tc>
      </w:tr>
      <w:tr w:rsidR="00423CC7" w:rsidRPr="00D72129" w:rsidTr="00423CC7">
        <w:trPr>
          <w:trHeight w:val="324"/>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2.1.7</w:t>
              </w:r>
            </w:smartTag>
            <w:r w:rsidRPr="00D72129">
              <w:rPr>
                <w:rFonts w:ascii="仿宋_GB2312" w:eastAsia="仿宋_GB2312" w:hAnsi="宋体" w:cs="宋体" w:hint="eastAsia"/>
              </w:rPr>
              <w:t>中、高等职业教育衔接情况</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教育统计数据</w:t>
            </w:r>
          </w:p>
        </w:tc>
      </w:tr>
      <w:tr w:rsidR="00423CC7" w:rsidRPr="00D72129" w:rsidTr="00423CC7">
        <w:trPr>
          <w:trHeight w:val="324"/>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D72129"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2.1.8</w:t>
              </w:r>
            </w:smartTag>
            <w:r w:rsidRPr="00D72129">
              <w:rPr>
                <w:rFonts w:ascii="仿宋_GB2312" w:eastAsia="仿宋_GB2312" w:hAnsi="宋体" w:cs="宋体" w:hint="eastAsia"/>
              </w:rPr>
              <w:t xml:space="preserve"> 区域内基础教育推进均衡化发展，实现教育公平；区域内实现基础教育的现代化、信息化水平状况</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D72129"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相关政策、文件及实施、评估情况</w:t>
            </w:r>
          </w:p>
        </w:tc>
      </w:tr>
      <w:tr w:rsidR="00423CC7" w:rsidRPr="00D72129" w:rsidTr="00423CC7">
        <w:trPr>
          <w:trHeight w:val="328"/>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restart"/>
            <w:vAlign w:val="center"/>
          </w:tcPr>
          <w:p w:rsid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2.2</w:t>
            </w:r>
          </w:p>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继续教育</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2.2.1</w:t>
              </w:r>
            </w:smartTag>
            <w:r w:rsidRPr="00D72129">
              <w:rPr>
                <w:rFonts w:ascii="仿宋_GB2312" w:eastAsia="仿宋_GB2312" w:hAnsi="宋体" w:cs="宋体" w:hint="eastAsia"/>
              </w:rPr>
              <w:t>企业职工教育和培训年参与率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相关成人继续教育统计数据</w:t>
            </w:r>
          </w:p>
        </w:tc>
      </w:tr>
      <w:tr w:rsidR="00423CC7" w:rsidRPr="00D72129" w:rsidTr="00423CC7">
        <w:trPr>
          <w:trHeight w:val="311"/>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2.2.2</w:t>
              </w:r>
            </w:smartTag>
            <w:r w:rsidRPr="00D72129">
              <w:rPr>
                <w:rFonts w:ascii="仿宋_GB2312" w:eastAsia="仿宋_GB2312" w:hAnsi="宋体" w:cs="宋体" w:hint="eastAsia"/>
              </w:rPr>
              <w:t>机关、事业单位职工教育年参与率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相关成人继续教育统计数据</w:t>
            </w:r>
          </w:p>
        </w:tc>
      </w:tr>
      <w:tr w:rsidR="00423CC7" w:rsidRPr="00D72129" w:rsidTr="00423CC7">
        <w:trPr>
          <w:trHeight w:val="322"/>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2.2.3</w:t>
              </w:r>
            </w:smartTag>
            <w:r w:rsidRPr="00D72129">
              <w:rPr>
                <w:rFonts w:ascii="仿宋_GB2312" w:eastAsia="仿宋_GB2312" w:hAnsi="宋体" w:cs="宋体" w:hint="eastAsia"/>
              </w:rPr>
              <w:t>专业技术人员继续教育每年达到72学时的比例</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相关成人继续教育统计数据</w:t>
            </w:r>
          </w:p>
        </w:tc>
      </w:tr>
      <w:tr w:rsidR="00423CC7" w:rsidRPr="00D72129" w:rsidTr="00423CC7">
        <w:trPr>
          <w:trHeight w:val="345"/>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2.2.4</w:t>
              </w:r>
            </w:smartTag>
            <w:r w:rsidRPr="00D72129">
              <w:rPr>
                <w:rFonts w:ascii="仿宋_GB2312" w:eastAsia="仿宋_GB2312" w:hAnsi="宋体" w:cs="宋体" w:hint="eastAsia"/>
              </w:rPr>
              <w:t>城乡居民社区教育年参与率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相关成人继续教育统计数据</w:t>
            </w:r>
          </w:p>
        </w:tc>
      </w:tr>
      <w:tr w:rsidR="00423CC7" w:rsidRPr="00D72129" w:rsidTr="00423CC7">
        <w:trPr>
          <w:trHeight w:val="345"/>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2.2.5</w:t>
              </w:r>
            </w:smartTag>
            <w:r w:rsidRPr="00D72129">
              <w:rPr>
                <w:rFonts w:ascii="仿宋_GB2312" w:eastAsia="仿宋_GB2312" w:hAnsi="宋体" w:cs="宋体" w:hint="eastAsia"/>
              </w:rPr>
              <w:t>社区老年教育参与率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相关成人继续教育统计数据</w:t>
            </w:r>
          </w:p>
        </w:tc>
      </w:tr>
      <w:tr w:rsidR="00423CC7" w:rsidRPr="00D72129" w:rsidTr="00423CC7">
        <w:trPr>
          <w:trHeight w:val="276"/>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2.2.6</w:t>
              </w:r>
            </w:smartTag>
            <w:r w:rsidRPr="00D72129">
              <w:rPr>
                <w:rFonts w:ascii="仿宋_GB2312" w:eastAsia="仿宋_GB2312" w:hAnsi="宋体" w:cs="宋体" w:hint="eastAsia"/>
              </w:rPr>
              <w:t>农村成人继续教育和培训参与率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相关成人继续教育统计数据</w:t>
            </w:r>
          </w:p>
        </w:tc>
      </w:tr>
      <w:tr w:rsidR="00423CC7" w:rsidRPr="00D72129" w:rsidTr="00423CC7">
        <w:trPr>
          <w:trHeight w:val="720"/>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2.2.7</w:t>
              </w:r>
            </w:smartTag>
            <w:r w:rsidRPr="00D72129">
              <w:rPr>
                <w:rFonts w:ascii="仿宋_GB2312" w:eastAsia="仿宋_GB2312" w:hAnsi="宋体" w:cs="宋体" w:hint="eastAsia"/>
              </w:rPr>
              <w:t>对农民工、失业者、低技能者、残疾人等弱势群体的学习支持</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相关政策、文件及实施情况</w:t>
            </w:r>
          </w:p>
        </w:tc>
      </w:tr>
      <w:tr w:rsidR="00423CC7" w:rsidRPr="00D72129" w:rsidTr="00423CC7">
        <w:trPr>
          <w:trHeight w:val="720"/>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2.2.8</w:t>
              </w:r>
            </w:smartTag>
            <w:r w:rsidRPr="00D72129">
              <w:rPr>
                <w:rFonts w:ascii="仿宋_GB2312" w:eastAsia="仿宋_GB2312" w:hAnsi="宋体" w:cs="宋体" w:hint="eastAsia"/>
              </w:rPr>
              <w:t>中等和高等职业学校年度校均开展成人继续教育人次</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相关成人继续教育统计数据</w:t>
            </w:r>
          </w:p>
        </w:tc>
      </w:tr>
      <w:tr w:rsidR="00423CC7" w:rsidRPr="00D72129" w:rsidTr="00423CC7">
        <w:trPr>
          <w:trHeight w:val="720"/>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2.2.9</w:t>
              </w:r>
            </w:smartTag>
            <w:r w:rsidRPr="00D72129">
              <w:rPr>
                <w:rFonts w:ascii="仿宋_GB2312" w:eastAsia="仿宋_GB2312" w:hAnsi="宋体" w:cs="宋体" w:hint="eastAsia"/>
              </w:rPr>
              <w:t>城市普通高等学校年度校均开展成人继续教育人次</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相关成人继续教育统计数据</w:t>
            </w:r>
          </w:p>
        </w:tc>
      </w:tr>
      <w:tr w:rsidR="00423CC7" w:rsidRPr="00D72129" w:rsidTr="00423CC7">
        <w:trPr>
          <w:trHeight w:val="315"/>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restart"/>
            <w:vAlign w:val="center"/>
          </w:tcPr>
          <w:p w:rsid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2.3</w:t>
            </w:r>
          </w:p>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学习服务</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2.3.1</w:t>
              </w:r>
            </w:smartTag>
            <w:r w:rsidRPr="00D72129">
              <w:rPr>
                <w:rFonts w:ascii="仿宋_GB2312" w:eastAsia="仿宋_GB2312" w:hAnsi="宋体" w:cs="宋体" w:hint="eastAsia"/>
              </w:rPr>
              <w:t>建立健全社区教育网络，</w:t>
            </w:r>
            <w:r w:rsidRPr="00423CC7">
              <w:rPr>
                <w:rFonts w:ascii="仿宋_GB2312" w:eastAsia="仿宋_GB2312" w:hAnsi="宋体" w:cs="宋体" w:hint="eastAsia"/>
              </w:rPr>
              <w:t>市-区（市、县）-街(镇、乡)-居（村、社）</w:t>
            </w:r>
            <w:r w:rsidRPr="00D72129">
              <w:rPr>
                <w:rFonts w:ascii="仿宋_GB2312" w:eastAsia="仿宋_GB2312" w:hAnsi="宋体" w:cs="宋体" w:hint="eastAsia"/>
              </w:rPr>
              <w:t>四级社区教育培训学校（中心）建成率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社区教育网络图示；相关成人继续教育统计数据</w:t>
            </w:r>
          </w:p>
        </w:tc>
      </w:tr>
      <w:tr w:rsidR="00423CC7" w:rsidRPr="00D72129" w:rsidTr="00423CC7">
        <w:trPr>
          <w:trHeight w:val="323"/>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2.3.2</w:t>
              </w:r>
            </w:smartTag>
            <w:r w:rsidRPr="00D72129">
              <w:rPr>
                <w:rFonts w:ascii="仿宋_GB2312" w:eastAsia="仿宋_GB2312" w:hAnsi="宋体" w:cs="宋体" w:hint="eastAsia"/>
              </w:rPr>
              <w:t>平均每万名城市居民拥有专用社区学习场所面积</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相关成人继续教育统计数据；用于社区居民教育培训的场地面积/人口数</w:t>
            </w:r>
          </w:p>
        </w:tc>
      </w:tr>
      <w:tr w:rsidR="00423CC7" w:rsidRPr="00D72129" w:rsidTr="00423CC7">
        <w:trPr>
          <w:trHeight w:val="323"/>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2.3.3</w:t>
              </w:r>
            </w:smartTag>
            <w:r w:rsidRPr="00D72129">
              <w:rPr>
                <w:rFonts w:ascii="仿宋_GB2312" w:eastAsia="仿宋_GB2312" w:hAnsi="宋体" w:cs="宋体" w:hint="eastAsia"/>
              </w:rPr>
              <w:t>国家级社区教育实验区及示范区和农村职业教育与成人教育示范县数量；实验区及示范区（县）占城市区县总数的比例</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相关统计数据</w:t>
            </w:r>
          </w:p>
        </w:tc>
      </w:tr>
      <w:tr w:rsidR="00423CC7" w:rsidRPr="00D72129" w:rsidTr="00423CC7">
        <w:trPr>
          <w:trHeight w:val="334"/>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2.3.4</w:t>
              </w:r>
            </w:smartTag>
            <w:r w:rsidRPr="00D72129">
              <w:rPr>
                <w:rFonts w:ascii="仿宋_GB2312" w:eastAsia="仿宋_GB2312" w:hAnsi="宋体" w:cs="宋体" w:hint="eastAsia"/>
              </w:rPr>
              <w:t>各级各类学校面向社会开放比例；文化体育公共服务设施向社会开放比例</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教育统计数据（公办和民办义务教育至高中阶段教育学校）</w:t>
            </w:r>
          </w:p>
        </w:tc>
      </w:tr>
      <w:tr w:rsidR="00423CC7" w:rsidRPr="00D72129" w:rsidTr="00423CC7">
        <w:trPr>
          <w:trHeight w:val="723"/>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2.3.5</w:t>
              </w:r>
            </w:smartTag>
            <w:r w:rsidRPr="00423CC7">
              <w:rPr>
                <w:rFonts w:ascii="仿宋_GB2312" w:eastAsia="仿宋_GB2312" w:hAnsi="宋体" w:cs="宋体" w:hint="eastAsia"/>
              </w:rPr>
              <w:t>探索建立学分积累、转换和认证制度，促进不同类型学习成果互认和衔接。</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相关政策、文件及进展情况</w:t>
            </w:r>
          </w:p>
          <w:p w:rsidR="00423CC7" w:rsidRPr="00423CC7" w:rsidRDefault="00423CC7" w:rsidP="00423CC7">
            <w:pPr>
              <w:spacing w:line="240" w:lineRule="exact"/>
              <w:rPr>
                <w:rFonts w:ascii="仿宋_GB2312" w:eastAsia="仿宋_GB2312" w:hAnsi="宋体" w:cs="宋体"/>
              </w:rPr>
            </w:pPr>
          </w:p>
        </w:tc>
      </w:tr>
      <w:tr w:rsidR="00423CC7" w:rsidRPr="00D72129" w:rsidTr="00423CC7">
        <w:trPr>
          <w:trHeight w:val="223"/>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2.3.6</w:t>
              </w:r>
            </w:smartTag>
            <w:r w:rsidRPr="00D72129">
              <w:rPr>
                <w:rFonts w:ascii="仿宋_GB2312" w:eastAsia="仿宋_GB2312" w:hAnsi="宋体" w:cs="宋体" w:hint="eastAsia"/>
              </w:rPr>
              <w:t>每百万人拥有公共图书量；每百万人拥有文化（艺术）馆、博物馆、科技馆数量及其参观人次</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334"/>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2.3.7</w:t>
              </w:r>
            </w:smartTag>
            <w:r w:rsidRPr="00D72129">
              <w:rPr>
                <w:rFonts w:ascii="仿宋_GB2312" w:eastAsia="仿宋_GB2312" w:hAnsi="宋体" w:cs="宋体" w:hint="eastAsia"/>
              </w:rPr>
              <w:t>从事终身教育工作的专职队伍总人数占各级各类学校教职工总数比例以及在常住人口中的万人占比；终身学习志愿者队伍的人数总量在常住人口中的万人占比</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教育部门统计数据</w:t>
            </w:r>
          </w:p>
        </w:tc>
      </w:tr>
      <w:tr w:rsidR="00423CC7" w:rsidRPr="00D72129" w:rsidTr="00423CC7">
        <w:trPr>
          <w:trHeight w:val="334"/>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2.3.8</w:t>
              </w:r>
            </w:smartTag>
            <w:r w:rsidRPr="00D72129">
              <w:rPr>
                <w:rFonts w:ascii="仿宋_GB2312" w:eastAsia="仿宋_GB2312" w:hAnsi="宋体" w:cs="宋体" w:hint="eastAsia"/>
              </w:rPr>
              <w:t>创造充满活力的终身教育文化，创设形式多样学习载体。开展灵活丰富的终身学习活动，举办终身学习周，推动全民阅读，积极培育学习品牌，创新教育培训和学习项目。</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相关政策、文件及开展情况</w:t>
            </w:r>
          </w:p>
          <w:p w:rsidR="00423CC7" w:rsidRPr="00423CC7" w:rsidRDefault="00423CC7" w:rsidP="00423CC7">
            <w:pPr>
              <w:spacing w:line="240" w:lineRule="exact"/>
              <w:rPr>
                <w:rFonts w:ascii="仿宋_GB2312" w:eastAsia="仿宋_GB2312" w:hAnsi="宋体" w:cs="宋体"/>
              </w:rPr>
            </w:pPr>
          </w:p>
        </w:tc>
      </w:tr>
      <w:tr w:rsidR="00423CC7" w:rsidRPr="00D72129" w:rsidTr="00423CC7">
        <w:trPr>
          <w:trHeight w:val="926"/>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restart"/>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2.4信息化学习资源与利用</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2.4.1</w:t>
              </w:r>
            </w:smartTag>
            <w:r w:rsidRPr="00D72129">
              <w:rPr>
                <w:rFonts w:ascii="仿宋_GB2312" w:eastAsia="仿宋_GB2312" w:hAnsi="宋体" w:cs="宋体" w:hint="eastAsia"/>
              </w:rPr>
              <w:t>市级教育行政部门建设的市民学习网站上的课程门数，自建特色资源数量，学时量，网站点击量</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相关数据</w:t>
            </w:r>
          </w:p>
        </w:tc>
      </w:tr>
      <w:tr w:rsidR="00423CC7" w:rsidRPr="00D72129" w:rsidTr="00423CC7">
        <w:trPr>
          <w:trHeight w:val="357"/>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Year" w:val="1899"/>
                <w:attr w:name="Month" w:val="12"/>
                <w:attr w:name="Day" w:val="30"/>
                <w:attr w:name="IsLunarDate" w:val="False"/>
                <w:attr w:name="IsROCDate" w:val="False"/>
              </w:smartTagPr>
              <w:r w:rsidRPr="00D72129">
                <w:rPr>
                  <w:rFonts w:ascii="仿宋_GB2312" w:eastAsia="仿宋_GB2312" w:hAnsi="宋体" w:cs="宋体" w:hint="eastAsia"/>
                </w:rPr>
                <w:t>2.4.2</w:t>
              </w:r>
            </w:smartTag>
            <w:r w:rsidRPr="00D72129">
              <w:rPr>
                <w:rFonts w:ascii="仿宋_GB2312" w:eastAsia="仿宋_GB2312" w:hAnsi="宋体" w:cs="宋体" w:hint="eastAsia"/>
              </w:rPr>
              <w:t>市民每百户耐用消费品计算机拥有量</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316"/>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2.4.3</w:t>
              </w:r>
            </w:smartTag>
            <w:r w:rsidRPr="00D72129">
              <w:rPr>
                <w:rFonts w:ascii="仿宋_GB2312" w:eastAsia="仿宋_GB2312" w:hAnsi="宋体" w:cs="宋体" w:hint="eastAsia"/>
              </w:rPr>
              <w:t>市民每百户耐用消费品移动电话拥有量</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299"/>
          <w:jc w:val="center"/>
        </w:trPr>
        <w:tc>
          <w:tcPr>
            <w:tcW w:w="846" w:type="dxa"/>
            <w:vMerge w:val="restart"/>
            <w:vAlign w:val="center"/>
          </w:tcPr>
          <w:p w:rsidR="00423CC7" w:rsidRPr="00423CC7" w:rsidRDefault="00423CC7" w:rsidP="00423CC7">
            <w:pPr>
              <w:spacing w:line="240" w:lineRule="exact"/>
              <w:rPr>
                <w:rFonts w:ascii="仿宋_GB2312" w:eastAsia="仿宋_GB2312" w:hAnsi="宋体" w:cs="宋体"/>
              </w:rPr>
            </w:pPr>
          </w:p>
          <w:p w:rsidR="00423CC7" w:rsidRPr="00423CC7" w:rsidRDefault="00423CC7" w:rsidP="00423CC7">
            <w:pPr>
              <w:spacing w:line="240" w:lineRule="exact"/>
              <w:rPr>
                <w:rFonts w:ascii="仿宋_GB2312" w:eastAsia="仿宋_GB2312" w:hAnsi="宋体" w:cs="宋体"/>
              </w:rPr>
            </w:pPr>
          </w:p>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3.学习型组织建设</w:t>
            </w:r>
          </w:p>
        </w:tc>
        <w:tc>
          <w:tcPr>
            <w:tcW w:w="1137" w:type="dxa"/>
            <w:vMerge w:val="restart"/>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3.1区域学习型组织创建</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3.1.1</w:t>
              </w:r>
            </w:smartTag>
            <w:r w:rsidRPr="00D72129">
              <w:rPr>
                <w:rFonts w:ascii="仿宋_GB2312" w:eastAsia="仿宋_GB2312" w:hAnsi="宋体" w:cs="宋体" w:hint="eastAsia"/>
              </w:rPr>
              <w:t>制定了学习型区（县）、街道（乡镇）及学习型新村（居委会）等区域学习型组织的建设和评价标准，近五年评估、表彰率</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相关文件名称、内容、时间；各部门对创建各类区域学习型组织的评估、表彰率，相关数据</w:t>
            </w:r>
          </w:p>
        </w:tc>
      </w:tr>
      <w:tr w:rsidR="00423CC7" w:rsidRPr="00D72129" w:rsidTr="00423CC7">
        <w:trPr>
          <w:trHeight w:val="311"/>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3.1.2</w:t>
              </w:r>
            </w:smartTag>
            <w:r w:rsidRPr="00423CC7">
              <w:rPr>
                <w:rFonts w:ascii="仿宋_GB2312" w:eastAsia="仿宋_GB2312" w:hAnsi="宋体" w:cs="宋体" w:hint="eastAsia"/>
              </w:rPr>
              <w:t>近五年各部门对创建各类学习型组织所取得的经验做法及特色亮点</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相关材料</w:t>
            </w:r>
          </w:p>
        </w:tc>
      </w:tr>
      <w:tr w:rsidR="00423CC7" w:rsidRPr="00D72129" w:rsidTr="00423CC7">
        <w:trPr>
          <w:trHeight w:val="303"/>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restart"/>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3.2法人单位学习型组织创建</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3.2.1</w:t>
              </w:r>
            </w:smartTag>
            <w:r w:rsidRPr="00D72129">
              <w:rPr>
                <w:rFonts w:ascii="仿宋_GB2312" w:eastAsia="仿宋_GB2312" w:hAnsi="宋体" w:cs="宋体" w:hint="eastAsia"/>
              </w:rPr>
              <w:t>制定了学习型机关、企业、事业单位、学校及社会组织等法人单位学习型组织的建设</w:t>
            </w:r>
            <w:r w:rsidRPr="00423CC7">
              <w:rPr>
                <w:rFonts w:ascii="仿宋_GB2312" w:eastAsia="仿宋_GB2312" w:hAnsi="宋体" w:cs="宋体" w:hint="eastAsia"/>
              </w:rPr>
              <w:t>和</w:t>
            </w:r>
            <w:r w:rsidRPr="00D72129">
              <w:rPr>
                <w:rFonts w:ascii="仿宋_GB2312" w:eastAsia="仿宋_GB2312" w:hAnsi="宋体" w:cs="宋体" w:hint="eastAsia"/>
              </w:rPr>
              <w:t>评价标准；近五年评估表彰率</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相关文件名称、内容、时间。相关数据（注明各年度授予各类学习型组织称号；企业只限中等规模以上企业）</w:t>
            </w:r>
          </w:p>
        </w:tc>
      </w:tr>
      <w:tr w:rsidR="00423CC7" w:rsidRPr="00D72129" w:rsidTr="00423CC7">
        <w:trPr>
          <w:trHeight w:val="302"/>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3.2.2</w:t>
              </w:r>
            </w:smartTag>
            <w:r w:rsidRPr="00D72129">
              <w:rPr>
                <w:rFonts w:ascii="仿宋_GB2312" w:eastAsia="仿宋_GB2312" w:hAnsi="宋体" w:cs="宋体" w:hint="eastAsia"/>
              </w:rPr>
              <w:t>近五年各类法人单位对创建各类学习型组织所取得的经验做法及特色亮点</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423CC7">
              <w:rPr>
                <w:rFonts w:ascii="仿宋_GB2312" w:eastAsia="仿宋_GB2312" w:hAnsi="宋体" w:cs="宋体" w:hint="eastAsia"/>
              </w:rPr>
              <w:t>相关材料</w:t>
            </w:r>
          </w:p>
        </w:tc>
      </w:tr>
      <w:tr w:rsidR="00423CC7" w:rsidRPr="00D72129" w:rsidTr="00423CC7">
        <w:trPr>
          <w:trHeight w:val="301"/>
          <w:jc w:val="center"/>
        </w:trPr>
        <w:tc>
          <w:tcPr>
            <w:tcW w:w="846" w:type="dxa"/>
            <w:vMerge w:val="restart"/>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4.城市可持续发展</w:t>
            </w:r>
          </w:p>
        </w:tc>
        <w:tc>
          <w:tcPr>
            <w:tcW w:w="1137" w:type="dxa"/>
            <w:vMerge w:val="restart"/>
            <w:vAlign w:val="center"/>
          </w:tcPr>
          <w:p w:rsid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4.1</w:t>
            </w:r>
          </w:p>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综合发展</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4.1.1</w:t>
              </w:r>
            </w:smartTag>
            <w:r w:rsidRPr="00D72129">
              <w:rPr>
                <w:rFonts w:ascii="仿宋_GB2312" w:eastAsia="仿宋_GB2312" w:hAnsi="宋体" w:cs="宋体" w:hint="eastAsia"/>
              </w:rPr>
              <w:t>城市上一年度经济增长率，人均GDP</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311"/>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4.1.2</w:t>
              </w:r>
            </w:smartTag>
            <w:r w:rsidRPr="00D72129">
              <w:rPr>
                <w:rFonts w:ascii="仿宋_GB2312" w:eastAsia="仿宋_GB2312" w:hAnsi="宋体" w:cs="宋体" w:hint="eastAsia"/>
              </w:rPr>
              <w:t>恩格尔系数</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311"/>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4.1.3</w:t>
              </w:r>
            </w:smartTag>
            <w:r w:rsidRPr="00D72129">
              <w:rPr>
                <w:rFonts w:ascii="仿宋_GB2312" w:eastAsia="仿宋_GB2312" w:hAnsi="宋体" w:cs="宋体" w:hint="eastAsia"/>
              </w:rPr>
              <w:t>城镇化率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相关数据</w:t>
            </w:r>
          </w:p>
        </w:tc>
      </w:tr>
      <w:tr w:rsidR="00423CC7" w:rsidRPr="00D72129" w:rsidTr="00423CC7">
        <w:trPr>
          <w:trHeight w:val="311"/>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4.1.4</w:t>
              </w:r>
            </w:smartTag>
            <w:r w:rsidRPr="00D72129">
              <w:rPr>
                <w:rFonts w:ascii="仿宋_GB2312" w:eastAsia="仿宋_GB2312" w:hAnsi="宋体" w:cs="宋体" w:hint="eastAsia"/>
              </w:rPr>
              <w:t>城镇登记失业率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267"/>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4.1.5</w:t>
              </w:r>
            </w:smartTag>
            <w:r w:rsidRPr="00D72129">
              <w:rPr>
                <w:rFonts w:ascii="仿宋_GB2312" w:eastAsia="仿宋_GB2312" w:hAnsi="宋体" w:cs="宋体" w:hint="eastAsia"/>
              </w:rPr>
              <w:t>城市污水处理率；生活垃圾无害化处理率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267"/>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restart"/>
            <w:vAlign w:val="center"/>
          </w:tcPr>
          <w:p w:rsid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4.2</w:t>
            </w:r>
          </w:p>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社会治理</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4.2.1</w:t>
              </w:r>
            </w:smartTag>
            <w:r w:rsidRPr="00D72129">
              <w:rPr>
                <w:rFonts w:ascii="仿宋_GB2312" w:eastAsia="仿宋_GB2312" w:hAnsi="宋体" w:cs="宋体" w:hint="eastAsia"/>
              </w:rPr>
              <w:t>人均公共服务设施指数</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288"/>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4.2.2</w:t>
              </w:r>
            </w:smartTag>
            <w:r w:rsidRPr="00D72129">
              <w:rPr>
                <w:rFonts w:ascii="仿宋_GB2312" w:eastAsia="仿宋_GB2312" w:hAnsi="宋体" w:cs="宋体" w:hint="eastAsia"/>
              </w:rPr>
              <w:t>城乡居民医疗保险参保率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241"/>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4.2.3</w:t>
              </w:r>
            </w:smartTag>
            <w:r w:rsidRPr="00D72129">
              <w:rPr>
                <w:rFonts w:ascii="仿宋_GB2312" w:eastAsia="仿宋_GB2312" w:hAnsi="宋体" w:cs="宋体" w:hint="eastAsia"/>
              </w:rPr>
              <w:t>城乡居民养老保险参保率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241"/>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4.2.4</w:t>
              </w:r>
            </w:smartTag>
            <w:r w:rsidRPr="00D72129">
              <w:rPr>
                <w:rFonts w:ascii="仿宋_GB2312" w:eastAsia="仿宋_GB2312" w:hAnsi="宋体" w:cs="宋体" w:hint="eastAsia"/>
              </w:rPr>
              <w:t>每万人拥有养老床位数</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241"/>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4.2.5</w:t>
              </w:r>
            </w:smartTag>
            <w:r w:rsidRPr="00D72129">
              <w:rPr>
                <w:rFonts w:ascii="仿宋_GB2312" w:eastAsia="仿宋_GB2312" w:hAnsi="宋体" w:cs="宋体" w:hint="eastAsia"/>
              </w:rPr>
              <w:t>城市社区养老服务机构建设</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民政部门资料</w:t>
            </w:r>
          </w:p>
        </w:tc>
      </w:tr>
      <w:tr w:rsidR="00423CC7" w:rsidRPr="00D72129" w:rsidTr="00423CC7">
        <w:trPr>
          <w:trHeight w:val="70"/>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4.2.6</w:t>
              </w:r>
            </w:smartTag>
            <w:r w:rsidRPr="00D72129">
              <w:rPr>
                <w:rFonts w:ascii="仿宋_GB2312" w:eastAsia="仿宋_GB2312" w:hAnsi="宋体" w:cs="宋体" w:hint="eastAsia"/>
              </w:rPr>
              <w:t>社会组织的数量及工作者所占人口比例</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民政部门数据</w:t>
            </w:r>
          </w:p>
        </w:tc>
      </w:tr>
      <w:tr w:rsidR="00423CC7" w:rsidRPr="00D72129" w:rsidTr="00423CC7">
        <w:trPr>
          <w:trHeight w:val="161"/>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restart"/>
            <w:vAlign w:val="center"/>
          </w:tcPr>
          <w:p w:rsid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4.3</w:t>
            </w:r>
          </w:p>
          <w:p w:rsidR="00423CC7" w:rsidRPr="00423CC7" w:rsidRDefault="00423CC7" w:rsidP="00423CC7">
            <w:pPr>
              <w:spacing w:line="240" w:lineRule="exact"/>
              <w:rPr>
                <w:rFonts w:ascii="仿宋_GB2312" w:eastAsia="仿宋_GB2312" w:hAnsi="宋体" w:cs="宋体"/>
              </w:rPr>
            </w:pPr>
            <w:r>
              <w:rPr>
                <w:rFonts w:ascii="仿宋_GB2312" w:eastAsia="仿宋_GB2312" w:hAnsi="宋体" w:cs="宋体" w:hint="eastAsia"/>
              </w:rPr>
              <w:t>人</w:t>
            </w:r>
            <w:r w:rsidRPr="00D72129">
              <w:rPr>
                <w:rFonts w:ascii="仿宋_GB2312" w:eastAsia="仿宋_GB2312" w:hAnsi="宋体" w:cs="宋体" w:hint="eastAsia"/>
              </w:rPr>
              <w:t>的发展</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4.3.1</w:t>
              </w:r>
            </w:smartTag>
            <w:r w:rsidRPr="00D72129">
              <w:rPr>
                <w:rFonts w:ascii="仿宋_GB2312" w:eastAsia="仿宋_GB2312" w:hAnsi="宋体" w:cs="宋体" w:hint="eastAsia"/>
              </w:rPr>
              <w:t>.新增劳动力平均受教育年限</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288"/>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4.3.2</w:t>
              </w:r>
            </w:smartTag>
            <w:r w:rsidRPr="00D72129">
              <w:rPr>
                <w:rFonts w:ascii="仿宋_GB2312" w:eastAsia="仿宋_GB2312" w:hAnsi="宋体" w:cs="宋体" w:hint="eastAsia"/>
              </w:rPr>
              <w:t>全市主要劳动年龄人口中受过高等教育比例</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288"/>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4.3.3</w:t>
              </w:r>
            </w:smartTag>
            <w:r w:rsidRPr="00423CC7">
              <w:rPr>
                <w:rFonts w:ascii="仿宋_GB2312" w:eastAsia="仿宋_GB2312" w:hAnsi="宋体" w:cs="宋体" w:hint="eastAsia"/>
              </w:rPr>
              <w:t>城市登记失业人口再就业率</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300"/>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4.3.4</w:t>
              </w:r>
            </w:smartTag>
            <w:r w:rsidRPr="00D72129">
              <w:rPr>
                <w:rFonts w:ascii="仿宋_GB2312" w:eastAsia="仿宋_GB2312" w:hAnsi="宋体" w:cs="宋体" w:hint="eastAsia"/>
              </w:rPr>
              <w:t>人均阅读量</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相关数据</w:t>
            </w:r>
          </w:p>
        </w:tc>
      </w:tr>
      <w:tr w:rsidR="00423CC7" w:rsidRPr="00D72129" w:rsidTr="00423CC7">
        <w:trPr>
          <w:trHeight w:val="775"/>
          <w:jc w:val="center"/>
        </w:trPr>
        <w:tc>
          <w:tcPr>
            <w:tcW w:w="846" w:type="dxa"/>
            <w:vMerge/>
            <w:vAlign w:val="center"/>
          </w:tcPr>
          <w:p w:rsidR="00423CC7" w:rsidRPr="00423CC7" w:rsidRDefault="00423CC7" w:rsidP="00423CC7">
            <w:pPr>
              <w:spacing w:line="240" w:lineRule="exact"/>
              <w:rPr>
                <w:rFonts w:ascii="仿宋_GB2312" w:eastAsia="仿宋_GB2312" w:hAnsi="宋体" w:cs="宋体"/>
              </w:rPr>
            </w:pPr>
          </w:p>
        </w:tc>
        <w:tc>
          <w:tcPr>
            <w:tcW w:w="1137" w:type="dxa"/>
            <w:vMerge/>
            <w:vAlign w:val="center"/>
          </w:tcPr>
          <w:p w:rsidR="00423CC7" w:rsidRPr="00423CC7" w:rsidRDefault="00423CC7" w:rsidP="00423CC7">
            <w:pPr>
              <w:spacing w:line="240" w:lineRule="exact"/>
              <w:rPr>
                <w:rFonts w:ascii="仿宋_GB2312" w:eastAsia="仿宋_GB2312" w:hAnsi="宋体" w:cs="宋体"/>
              </w:rPr>
            </w:pP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4.3.5</w:t>
              </w:r>
            </w:smartTag>
            <w:r w:rsidRPr="00D72129">
              <w:rPr>
                <w:rFonts w:ascii="仿宋_GB2312" w:eastAsia="仿宋_GB2312" w:hAnsi="宋体" w:cs="宋体" w:hint="eastAsia"/>
              </w:rPr>
              <w:t>全市市民人均教育、文化消费支出年增加数</w:t>
            </w:r>
          </w:p>
        </w:tc>
        <w:tc>
          <w:tcPr>
            <w:tcW w:w="693" w:type="dxa"/>
            <w:vAlign w:val="center"/>
          </w:tcPr>
          <w:p w:rsidR="00423CC7" w:rsidRPr="00423CC7" w:rsidRDefault="00423CC7" w:rsidP="00423CC7">
            <w:pPr>
              <w:spacing w:line="240" w:lineRule="exact"/>
              <w:rPr>
                <w:rFonts w:ascii="仿宋_GB2312" w:eastAsia="仿宋_GB2312" w:hAnsi="宋体" w:cs="宋体"/>
              </w:rPr>
            </w:pP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统计部门数据</w:t>
            </w:r>
          </w:p>
        </w:tc>
      </w:tr>
      <w:tr w:rsidR="00423CC7" w:rsidRPr="00D72129" w:rsidTr="00423CC7">
        <w:trPr>
          <w:trHeight w:val="274"/>
          <w:jc w:val="center"/>
        </w:trPr>
        <w:tc>
          <w:tcPr>
            <w:tcW w:w="846" w:type="dxa"/>
            <w:vMerge w:val="restart"/>
            <w:vAlign w:val="center"/>
          </w:tcPr>
          <w:p w:rsidR="00423CC7" w:rsidRPr="00423CC7" w:rsidRDefault="00423CC7" w:rsidP="00423CC7">
            <w:pPr>
              <w:spacing w:line="240" w:lineRule="exact"/>
              <w:rPr>
                <w:rFonts w:ascii="仿宋_GB2312" w:eastAsia="仿宋_GB2312" w:hAnsi="宋体" w:cs="宋体"/>
              </w:rPr>
            </w:pPr>
            <w:r w:rsidRPr="00423CC7">
              <w:rPr>
                <w:rFonts w:ascii="仿宋_GB2312" w:eastAsia="仿宋_GB2312" w:hAnsi="宋体" w:cs="宋体" w:hint="eastAsia"/>
              </w:rPr>
              <w:t>5.成果与创新</w:t>
            </w:r>
          </w:p>
        </w:tc>
        <w:tc>
          <w:tcPr>
            <w:tcW w:w="1137" w:type="dxa"/>
            <w:vAlign w:val="center"/>
          </w:tcPr>
          <w:p w:rsid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5.1</w:t>
            </w:r>
          </w:p>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制度创新</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5.1.1</w:t>
              </w:r>
            </w:smartTag>
            <w:r w:rsidRPr="00D72129">
              <w:rPr>
                <w:rFonts w:ascii="仿宋_GB2312" w:eastAsia="仿宋_GB2312" w:hAnsi="宋体" w:cs="宋体" w:hint="eastAsia"/>
              </w:rPr>
              <w:t>在学习型城市建设法规、制度、体制、机制等方面创新与发展的典型案例及相关理论与实践研究成果</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相关文件、资料和经验案例及研究成果材料，并注明年度时间</w:t>
            </w:r>
          </w:p>
        </w:tc>
      </w:tr>
      <w:tr w:rsidR="00423CC7" w:rsidRPr="00D72129" w:rsidTr="00423CC7">
        <w:trPr>
          <w:trHeight w:val="274"/>
          <w:jc w:val="center"/>
        </w:trPr>
        <w:tc>
          <w:tcPr>
            <w:tcW w:w="846" w:type="dxa"/>
            <w:vMerge/>
            <w:vAlign w:val="center"/>
          </w:tcPr>
          <w:p w:rsidR="00423CC7" w:rsidRPr="00D72129" w:rsidRDefault="00423CC7" w:rsidP="00D66CB1">
            <w:pPr>
              <w:widowControl/>
              <w:spacing w:line="380" w:lineRule="exact"/>
              <w:jc w:val="left"/>
              <w:rPr>
                <w:rFonts w:ascii="仿宋_GB2312" w:eastAsia="仿宋_GB2312" w:cs="宋体"/>
              </w:rPr>
            </w:pPr>
          </w:p>
        </w:tc>
        <w:tc>
          <w:tcPr>
            <w:tcW w:w="1137"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5.2重大成果及获得奖励</w:t>
            </w:r>
          </w:p>
        </w:tc>
        <w:tc>
          <w:tcPr>
            <w:tcW w:w="4146" w:type="dxa"/>
            <w:vAlign w:val="center"/>
          </w:tcPr>
          <w:p w:rsidR="00423CC7" w:rsidRPr="00423CC7" w:rsidRDefault="00423CC7" w:rsidP="00423CC7">
            <w:pPr>
              <w:spacing w:line="240" w:lineRule="exact"/>
              <w:rPr>
                <w:rFonts w:ascii="仿宋_GB2312" w:eastAsia="仿宋_GB2312" w:hAnsi="宋体" w:cs="宋体"/>
              </w:rPr>
            </w:pPr>
            <w:smartTag w:uri="urn:schemas-microsoft-com:office:smarttags" w:element="chsdate">
              <w:smartTagPr>
                <w:attr w:name="IsROCDate" w:val="False"/>
                <w:attr w:name="IsLunarDate" w:val="False"/>
                <w:attr w:name="Day" w:val="30"/>
                <w:attr w:name="Month" w:val="12"/>
                <w:attr w:name="Year" w:val="1899"/>
              </w:smartTagPr>
              <w:r w:rsidRPr="00D72129">
                <w:rPr>
                  <w:rFonts w:ascii="仿宋_GB2312" w:eastAsia="仿宋_GB2312" w:hAnsi="宋体" w:cs="宋体" w:hint="eastAsia"/>
                </w:rPr>
                <w:t>5.2.1</w:t>
              </w:r>
            </w:smartTag>
            <w:r w:rsidRPr="00D72129">
              <w:rPr>
                <w:rFonts w:ascii="仿宋_GB2312" w:eastAsia="仿宋_GB2312" w:hAnsi="宋体" w:cs="宋体" w:hint="eastAsia"/>
              </w:rPr>
              <w:t>近五年来城市</w:t>
            </w:r>
            <w:r w:rsidRPr="00423CC7">
              <w:rPr>
                <w:rFonts w:ascii="仿宋_GB2312" w:eastAsia="仿宋_GB2312" w:hAnsi="宋体" w:cs="宋体" w:hint="eastAsia"/>
              </w:rPr>
              <w:t>获得国际、国家、有关部委的荣誉称号</w:t>
            </w:r>
          </w:p>
        </w:tc>
        <w:tc>
          <w:tcPr>
            <w:tcW w:w="693" w:type="dxa"/>
            <w:vAlign w:val="center"/>
          </w:tcPr>
          <w:p w:rsidR="00423CC7" w:rsidRPr="00423CC7" w:rsidRDefault="00423CC7" w:rsidP="00423CC7">
            <w:pPr>
              <w:spacing w:line="240" w:lineRule="exact"/>
              <w:jc w:val="left"/>
              <w:rPr>
                <w:rFonts w:ascii="仿宋_GB2312" w:eastAsia="仿宋_GB2312" w:hAnsi="宋体" w:cs="宋体"/>
              </w:rPr>
            </w:pPr>
            <w:r w:rsidRPr="00D72129">
              <w:rPr>
                <w:rFonts w:ascii="仿宋_GB2312" w:eastAsia="仿宋_GB2312" w:hAnsi="宋体" w:cs="宋体" w:hint="eastAsia"/>
              </w:rPr>
              <w:t>在附件2填写</w:t>
            </w:r>
          </w:p>
        </w:tc>
        <w:tc>
          <w:tcPr>
            <w:tcW w:w="3346" w:type="dxa"/>
            <w:vAlign w:val="center"/>
          </w:tcPr>
          <w:p w:rsidR="00423CC7" w:rsidRPr="00423CC7" w:rsidRDefault="00423CC7" w:rsidP="00423CC7">
            <w:pPr>
              <w:spacing w:line="240" w:lineRule="exact"/>
              <w:rPr>
                <w:rFonts w:ascii="仿宋_GB2312" w:eastAsia="仿宋_GB2312" w:hAnsi="宋体" w:cs="宋体"/>
              </w:rPr>
            </w:pPr>
            <w:r w:rsidRPr="00D72129">
              <w:rPr>
                <w:rFonts w:ascii="仿宋_GB2312" w:eastAsia="仿宋_GB2312" w:hAnsi="宋体" w:cs="宋体" w:hint="eastAsia"/>
              </w:rPr>
              <w:t>相关文件或奖牌、证书</w:t>
            </w:r>
          </w:p>
        </w:tc>
      </w:tr>
    </w:tbl>
    <w:p w:rsidR="00423CC7" w:rsidRPr="00423CC7" w:rsidRDefault="00423CC7" w:rsidP="00423CC7">
      <w:pPr>
        <w:pStyle w:val="m"/>
      </w:pPr>
      <w:r w:rsidRPr="00423CC7">
        <w:rPr>
          <w:rFonts w:hint="eastAsia"/>
        </w:rPr>
        <w:t>注：指标体系中共有5个一级指标,15个二级指标，62个三级指标。三级指标中有18个为定性监测指标，44个为定量监测指标。</w:t>
      </w:r>
    </w:p>
    <w:p w:rsidR="00423CC7" w:rsidRPr="00423CC7" w:rsidRDefault="00423CC7" w:rsidP="00423CC7">
      <w:pPr>
        <w:tabs>
          <w:tab w:val="left" w:pos="471"/>
        </w:tabs>
        <w:sectPr w:rsidR="00423CC7" w:rsidRPr="00423CC7" w:rsidSect="00BC356A">
          <w:pgSz w:w="11906" w:h="16838" w:code="9"/>
          <w:pgMar w:top="1440" w:right="1800" w:bottom="1440" w:left="1800" w:header="851" w:footer="992" w:gutter="0"/>
          <w:cols w:space="425"/>
          <w:titlePg/>
          <w:docGrid w:type="lines" w:linePitch="312"/>
        </w:sectPr>
      </w:pPr>
      <w:r>
        <w:tab/>
      </w:r>
    </w:p>
    <w:p w:rsidR="00423CC7" w:rsidRDefault="00423CC7" w:rsidP="00423CC7">
      <w:pPr>
        <w:pStyle w:val="m"/>
        <w:ind w:firstLineChars="0" w:firstLine="0"/>
      </w:pPr>
      <w:r>
        <w:rPr>
          <w:rFonts w:hint="eastAsia"/>
        </w:rPr>
        <w:lastRenderedPageBreak/>
        <w:t>附件2</w:t>
      </w:r>
    </w:p>
    <w:p w:rsidR="00423CC7" w:rsidRDefault="00423CC7" w:rsidP="00423CC7">
      <w:pPr>
        <w:pStyle w:val="m1"/>
      </w:pPr>
      <w:r w:rsidRPr="00FB5393">
        <w:rPr>
          <w:rFonts w:hint="eastAsia"/>
        </w:rPr>
        <w:t>全国学习型城市建设监测指标体系定性描述附表</w:t>
      </w:r>
    </w:p>
    <w:p w:rsidR="00423CC7" w:rsidRDefault="00423CC7" w:rsidP="00423CC7">
      <w:pPr>
        <w:pStyle w:val="m"/>
        <w:ind w:firstLineChars="0" w:firstLine="0"/>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5903"/>
        <w:gridCol w:w="1637"/>
      </w:tblGrid>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423CC7" w:rsidRDefault="00423CC7" w:rsidP="00423CC7">
            <w:pPr>
              <w:pStyle w:val="m14"/>
              <w:jc w:val="center"/>
              <w:rPr>
                <w:b/>
              </w:rPr>
            </w:pPr>
            <w:r w:rsidRPr="00423CC7">
              <w:rPr>
                <w:rFonts w:hint="eastAsia"/>
                <w:b/>
              </w:rPr>
              <w:t>指标序号</w:t>
            </w:r>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423CC7" w:rsidRDefault="00423CC7" w:rsidP="00423CC7">
            <w:pPr>
              <w:pStyle w:val="m14"/>
              <w:jc w:val="center"/>
              <w:rPr>
                <w:b/>
              </w:rPr>
            </w:pPr>
            <w:r w:rsidRPr="00423CC7">
              <w:rPr>
                <w:rFonts w:hint="eastAsia"/>
                <w:b/>
              </w:rPr>
              <w:t>填写内容</w:t>
            </w: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423CC7" w:rsidRDefault="00423CC7" w:rsidP="00423CC7">
            <w:pPr>
              <w:pStyle w:val="m14"/>
              <w:jc w:val="center"/>
              <w:rPr>
                <w:b/>
              </w:rPr>
            </w:pPr>
            <w:r w:rsidRPr="00423CC7">
              <w:rPr>
                <w:rFonts w:hint="eastAsia"/>
                <w:b/>
              </w:rPr>
              <w:t>备注</w:t>
            </w: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1.1.1</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1.1.2</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25"/>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1.2.1</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1.2.2</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1.3.1</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1.3.2</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1.3.3</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1.4.5</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25"/>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2.1.6</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2.2.7</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2.3.5</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2.3.8</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3.1.1</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3.2.1</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4.2.5</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25"/>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4.4.1</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13"/>
          <w:jc w:val="center"/>
        </w:trPr>
        <w:tc>
          <w:tcPr>
            <w:tcW w:w="112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smartTag w:uri="urn:schemas-microsoft-com:office:smarttags" w:element="chsdate">
              <w:smartTagPr>
                <w:attr w:name="IsROCDate" w:val="False"/>
                <w:attr w:name="IsLunarDate" w:val="False"/>
                <w:attr w:name="Day" w:val="30"/>
                <w:attr w:name="Month" w:val="12"/>
                <w:attr w:name="Year" w:val="1899"/>
              </w:smartTagPr>
              <w:r w:rsidRPr="00D72129">
                <w:rPr>
                  <w:rFonts w:hint="eastAsia"/>
                </w:rPr>
                <w:t>4.4.2</w:t>
              </w:r>
            </w:smartTag>
          </w:p>
        </w:tc>
        <w:tc>
          <w:tcPr>
            <w:tcW w:w="590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bl>
    <w:p w:rsidR="00423CC7" w:rsidRDefault="00423CC7" w:rsidP="00423CC7">
      <w:pPr>
        <w:pStyle w:val="m"/>
        <w:ind w:firstLineChars="0" w:firstLine="0"/>
        <w:sectPr w:rsidR="00423CC7" w:rsidSect="00BC356A">
          <w:pgSz w:w="11906" w:h="16838" w:code="9"/>
          <w:pgMar w:top="1440" w:right="1800" w:bottom="1440" w:left="1800" w:header="851" w:footer="992" w:gutter="0"/>
          <w:cols w:space="425"/>
          <w:titlePg/>
          <w:docGrid w:type="lines" w:linePitch="312"/>
        </w:sectPr>
      </w:pPr>
    </w:p>
    <w:p w:rsidR="00423CC7" w:rsidRDefault="00423CC7" w:rsidP="00423CC7">
      <w:pPr>
        <w:pStyle w:val="m"/>
        <w:ind w:firstLineChars="0" w:firstLine="0"/>
      </w:pPr>
      <w:r>
        <w:rPr>
          <w:rFonts w:hint="eastAsia"/>
        </w:rPr>
        <w:lastRenderedPageBreak/>
        <w:t>附件3</w:t>
      </w:r>
    </w:p>
    <w:p w:rsidR="00423CC7" w:rsidRDefault="00423CC7" w:rsidP="00423CC7">
      <w:pPr>
        <w:pStyle w:val="m1"/>
      </w:pPr>
      <w:r w:rsidRPr="00FB5393">
        <w:rPr>
          <w:rFonts w:hint="eastAsia"/>
        </w:rPr>
        <w:t>学习型城市建设监测</w:t>
      </w:r>
      <w:r>
        <w:rPr>
          <w:rFonts w:hint="eastAsia"/>
        </w:rPr>
        <w:t>项目</w:t>
      </w:r>
      <w:r w:rsidRPr="00FB5393">
        <w:rPr>
          <w:rFonts w:hint="eastAsia"/>
        </w:rPr>
        <w:t>指导专家组推荐表</w:t>
      </w:r>
    </w:p>
    <w:tbl>
      <w:tblPr>
        <w:tblpPr w:leftFromText="180" w:rightFromText="180" w:vertAnchor="text" w:horzAnchor="page" w:tblpX="1786" w:tblpY="5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873"/>
        <w:gridCol w:w="728"/>
        <w:gridCol w:w="600"/>
        <w:gridCol w:w="673"/>
        <w:gridCol w:w="887"/>
        <w:gridCol w:w="722"/>
        <w:gridCol w:w="780"/>
        <w:gridCol w:w="722"/>
        <w:gridCol w:w="781"/>
        <w:gridCol w:w="1211"/>
      </w:tblGrid>
      <w:tr w:rsidR="00423CC7" w:rsidRPr="00D72129" w:rsidTr="00423CC7">
        <w:trPr>
          <w:trHeight w:val="680"/>
        </w:trPr>
        <w:tc>
          <w:tcPr>
            <w:tcW w:w="80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rPr>
                <w:lang w:val="zh-CN"/>
              </w:rPr>
            </w:pPr>
            <w:r w:rsidRPr="00D72129">
              <w:rPr>
                <w:rFonts w:hint="eastAsia"/>
                <w:lang w:val="zh-CN"/>
              </w:rPr>
              <w:t>专家姓名</w:t>
            </w:r>
          </w:p>
        </w:tc>
        <w:tc>
          <w:tcPr>
            <w:tcW w:w="87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728"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r w:rsidRPr="00D72129">
              <w:rPr>
                <w:rFonts w:hint="eastAsia"/>
              </w:rPr>
              <w:t>性别</w:t>
            </w:r>
          </w:p>
        </w:tc>
        <w:tc>
          <w:tcPr>
            <w:tcW w:w="600"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67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r w:rsidRPr="00D72129">
              <w:rPr>
                <w:rFonts w:hint="eastAsia"/>
              </w:rPr>
              <w:t>出生</w:t>
            </w:r>
          </w:p>
          <w:p w:rsidR="00423CC7" w:rsidRPr="00D72129" w:rsidRDefault="00423CC7" w:rsidP="00423CC7">
            <w:pPr>
              <w:pStyle w:val="m14"/>
              <w:jc w:val="center"/>
            </w:pPr>
            <w:r w:rsidRPr="00D72129">
              <w:rPr>
                <w:rFonts w:hint="eastAsia"/>
              </w:rPr>
              <w:t>年月</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r w:rsidRPr="00D72129">
              <w:rPr>
                <w:rFonts w:hint="eastAsia"/>
              </w:rPr>
              <w:t>民族</w:t>
            </w:r>
          </w:p>
        </w:tc>
        <w:tc>
          <w:tcPr>
            <w:tcW w:w="722"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78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r w:rsidRPr="00D72129">
              <w:rPr>
                <w:rFonts w:hint="eastAsia"/>
              </w:rPr>
              <w:t>就职时间</w:t>
            </w:r>
          </w:p>
        </w:tc>
        <w:tc>
          <w:tcPr>
            <w:tcW w:w="121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hRule="exact" w:val="1724"/>
        </w:trPr>
        <w:tc>
          <w:tcPr>
            <w:tcW w:w="80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r w:rsidRPr="00D72129">
              <w:rPr>
                <w:rFonts w:hint="eastAsia"/>
              </w:rPr>
              <w:t>最后</w:t>
            </w:r>
          </w:p>
          <w:p w:rsidR="00423CC7" w:rsidRPr="00D72129" w:rsidRDefault="00423CC7" w:rsidP="00423CC7">
            <w:pPr>
              <w:pStyle w:val="m14"/>
              <w:jc w:val="center"/>
            </w:pPr>
            <w:r w:rsidRPr="00D72129">
              <w:rPr>
                <w:rFonts w:hint="eastAsia"/>
              </w:rPr>
              <w:t>学历</w:t>
            </w:r>
          </w:p>
        </w:tc>
        <w:tc>
          <w:tcPr>
            <w:tcW w:w="87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728"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r w:rsidRPr="00D72129">
              <w:rPr>
                <w:rFonts w:hint="eastAsia"/>
              </w:rPr>
              <w:t>最后毕业院校及专业</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r w:rsidRPr="00D72129">
              <w:rPr>
                <w:rFonts w:hint="eastAsia"/>
              </w:rPr>
              <w:t>专业技术职务</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78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r w:rsidRPr="00D72129">
              <w:rPr>
                <w:rFonts w:hint="eastAsia"/>
              </w:rPr>
              <w:t>行政职务</w:t>
            </w:r>
          </w:p>
        </w:tc>
        <w:tc>
          <w:tcPr>
            <w:tcW w:w="1211"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c>
          <w:tcPr>
            <w:tcW w:w="80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r w:rsidRPr="00D72129">
              <w:rPr>
                <w:rFonts w:hint="eastAsia"/>
              </w:rPr>
              <w:t>工作</w:t>
            </w:r>
          </w:p>
          <w:p w:rsidR="00423CC7" w:rsidRPr="00D72129" w:rsidRDefault="00423CC7" w:rsidP="00423CC7">
            <w:pPr>
              <w:pStyle w:val="m14"/>
              <w:jc w:val="center"/>
            </w:pPr>
            <w:r w:rsidRPr="00D72129">
              <w:rPr>
                <w:rFonts w:hint="eastAsia"/>
              </w:rPr>
              <w:t>单位</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c>
          <w:tcPr>
            <w:tcW w:w="67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r w:rsidRPr="00D72129">
              <w:rPr>
                <w:rFonts w:hint="eastAsia"/>
              </w:rPr>
              <w:t>通讯</w:t>
            </w:r>
          </w:p>
          <w:p w:rsidR="00423CC7" w:rsidRPr="00D72129" w:rsidRDefault="00423CC7" w:rsidP="00423CC7">
            <w:pPr>
              <w:pStyle w:val="m14"/>
              <w:jc w:val="center"/>
            </w:pPr>
            <w:r w:rsidRPr="00D72129">
              <w:rPr>
                <w:rFonts w:hint="eastAsia"/>
              </w:rPr>
              <w:t>地址</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c>
          <w:tcPr>
            <w:tcW w:w="80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r w:rsidRPr="00D72129">
              <w:rPr>
                <w:rFonts w:hint="eastAsia"/>
              </w:rPr>
              <w:t>联系</w:t>
            </w:r>
          </w:p>
          <w:p w:rsidR="00423CC7" w:rsidRPr="00D72129" w:rsidRDefault="00423CC7" w:rsidP="00423CC7">
            <w:pPr>
              <w:pStyle w:val="m14"/>
              <w:jc w:val="center"/>
            </w:pPr>
            <w:r w:rsidRPr="00D72129">
              <w:rPr>
                <w:rFonts w:hint="eastAsia"/>
              </w:rPr>
              <w:t>电话</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423CC7" w:rsidRDefault="00423CC7" w:rsidP="00423CC7">
            <w:pPr>
              <w:pStyle w:val="m14"/>
              <w:jc w:val="center"/>
            </w:pPr>
          </w:p>
          <w:p w:rsidR="00423CC7" w:rsidRPr="00D72129" w:rsidRDefault="00423CC7" w:rsidP="00423CC7">
            <w:pPr>
              <w:pStyle w:val="m14"/>
              <w:jc w:val="center"/>
            </w:pPr>
          </w:p>
        </w:tc>
        <w:tc>
          <w:tcPr>
            <w:tcW w:w="673"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r w:rsidRPr="00D72129">
              <w:rPr>
                <w:rFonts w:hint="eastAsia"/>
              </w:rPr>
              <w:t>电子</w:t>
            </w:r>
          </w:p>
          <w:p w:rsidR="00423CC7" w:rsidRPr="00D72129" w:rsidRDefault="00423CC7" w:rsidP="00423CC7">
            <w:pPr>
              <w:pStyle w:val="m14"/>
              <w:jc w:val="center"/>
            </w:pPr>
            <w:r w:rsidRPr="00D72129">
              <w:rPr>
                <w:rFonts w:hint="eastAsia"/>
              </w:rPr>
              <w:t>邮箱</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p>
        </w:tc>
      </w:tr>
      <w:tr w:rsidR="00423CC7" w:rsidRPr="00D72129" w:rsidTr="00423CC7">
        <w:trPr>
          <w:trHeight w:val="6572"/>
        </w:trPr>
        <w:tc>
          <w:tcPr>
            <w:tcW w:w="80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bookmarkStart w:id="1" w:name="OLE_LINK22"/>
            <w:bookmarkStart w:id="2" w:name="OLE_LINK23"/>
            <w:r w:rsidRPr="00D72129">
              <w:rPr>
                <w:rFonts w:hint="eastAsia"/>
              </w:rPr>
              <w:t>推</w:t>
            </w:r>
          </w:p>
          <w:p w:rsidR="00423CC7" w:rsidRPr="00D72129" w:rsidRDefault="00423CC7" w:rsidP="00423CC7">
            <w:pPr>
              <w:pStyle w:val="m14"/>
              <w:jc w:val="center"/>
            </w:pPr>
            <w:r w:rsidRPr="00D72129">
              <w:rPr>
                <w:rFonts w:hint="eastAsia"/>
              </w:rPr>
              <w:t>荐</w:t>
            </w:r>
          </w:p>
          <w:p w:rsidR="00423CC7" w:rsidRPr="00D72129" w:rsidRDefault="00423CC7" w:rsidP="00423CC7">
            <w:pPr>
              <w:pStyle w:val="m14"/>
              <w:jc w:val="center"/>
            </w:pPr>
            <w:r w:rsidRPr="00D72129">
              <w:rPr>
                <w:rFonts w:hint="eastAsia"/>
              </w:rPr>
              <w:t>意</w:t>
            </w:r>
          </w:p>
          <w:p w:rsidR="00423CC7" w:rsidRPr="00D72129" w:rsidRDefault="00423CC7" w:rsidP="00423CC7">
            <w:pPr>
              <w:pStyle w:val="m14"/>
              <w:jc w:val="center"/>
            </w:pPr>
            <w:r w:rsidRPr="00D72129">
              <w:rPr>
                <w:rFonts w:hint="eastAsia"/>
              </w:rPr>
              <w:t>见</w:t>
            </w:r>
            <w:bookmarkEnd w:id="1"/>
            <w:bookmarkEnd w:id="2"/>
          </w:p>
        </w:tc>
        <w:tc>
          <w:tcPr>
            <w:tcW w:w="7977" w:type="dxa"/>
            <w:gridSpan w:val="10"/>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pPr>
          </w:p>
          <w:p w:rsidR="00423CC7" w:rsidRPr="00D72129" w:rsidRDefault="00423CC7" w:rsidP="00423CC7">
            <w:pPr>
              <w:pStyle w:val="m14"/>
            </w:pPr>
          </w:p>
          <w:p w:rsidR="00423CC7" w:rsidRPr="00D72129" w:rsidRDefault="00423CC7" w:rsidP="00423CC7">
            <w:pPr>
              <w:pStyle w:val="m14"/>
            </w:pPr>
          </w:p>
          <w:p w:rsidR="00423CC7" w:rsidRPr="00D72129" w:rsidRDefault="00423CC7" w:rsidP="00423CC7">
            <w:pPr>
              <w:pStyle w:val="m14"/>
            </w:pPr>
          </w:p>
          <w:p w:rsidR="00423CC7" w:rsidRPr="00D72129"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Pr="00D72129" w:rsidRDefault="00423CC7" w:rsidP="00423CC7">
            <w:pPr>
              <w:pStyle w:val="m14"/>
            </w:pPr>
          </w:p>
          <w:p w:rsidR="00423CC7" w:rsidRPr="00D72129" w:rsidRDefault="00423CC7" w:rsidP="00423CC7">
            <w:pPr>
              <w:pStyle w:val="m14"/>
            </w:pPr>
          </w:p>
          <w:p w:rsidR="00423CC7" w:rsidRPr="00D72129" w:rsidRDefault="00423CC7" w:rsidP="00423CC7">
            <w:pPr>
              <w:pStyle w:val="m14"/>
            </w:pPr>
          </w:p>
          <w:p w:rsidR="00423CC7" w:rsidRPr="00D72129" w:rsidRDefault="00423CC7" w:rsidP="00423CC7">
            <w:pPr>
              <w:pStyle w:val="m14"/>
            </w:pPr>
          </w:p>
          <w:p w:rsidR="00423CC7" w:rsidRPr="00D72129" w:rsidRDefault="00423CC7" w:rsidP="00423CC7">
            <w:pPr>
              <w:pStyle w:val="m14"/>
            </w:pPr>
          </w:p>
          <w:p w:rsidR="00423CC7" w:rsidRPr="00D72129" w:rsidRDefault="00423CC7" w:rsidP="00423CC7">
            <w:pPr>
              <w:pStyle w:val="m14"/>
            </w:pPr>
          </w:p>
          <w:p w:rsidR="00423CC7" w:rsidRPr="00D72129" w:rsidRDefault="00423CC7" w:rsidP="00423CC7">
            <w:pPr>
              <w:pStyle w:val="m14"/>
            </w:pPr>
          </w:p>
          <w:p w:rsidR="00423CC7" w:rsidRPr="00D72129" w:rsidRDefault="00423CC7" w:rsidP="00423CC7">
            <w:pPr>
              <w:pStyle w:val="m14"/>
            </w:pPr>
          </w:p>
          <w:p w:rsidR="00423CC7" w:rsidRPr="00D72129"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Pr="00D72129" w:rsidRDefault="00423CC7" w:rsidP="00423CC7">
            <w:pPr>
              <w:pStyle w:val="m14"/>
            </w:pPr>
          </w:p>
        </w:tc>
      </w:tr>
      <w:tr w:rsidR="00423CC7" w:rsidRPr="00D72129" w:rsidTr="00423CC7">
        <w:trPr>
          <w:trHeight w:val="6572"/>
        </w:trPr>
        <w:tc>
          <w:tcPr>
            <w:tcW w:w="807" w:type="dxa"/>
            <w:tcBorders>
              <w:top w:val="single" w:sz="4" w:space="0" w:color="auto"/>
              <w:left w:val="single" w:sz="4" w:space="0" w:color="auto"/>
              <w:bottom w:val="single" w:sz="4" w:space="0" w:color="auto"/>
              <w:right w:val="single" w:sz="4" w:space="0" w:color="auto"/>
            </w:tcBorders>
            <w:vAlign w:val="center"/>
          </w:tcPr>
          <w:p w:rsidR="00423CC7" w:rsidRPr="00D72129" w:rsidRDefault="00423CC7" w:rsidP="00423CC7">
            <w:pPr>
              <w:pStyle w:val="m14"/>
              <w:jc w:val="center"/>
            </w:pPr>
            <w:r w:rsidRPr="00D72129">
              <w:rPr>
                <w:rFonts w:hint="eastAsia"/>
              </w:rPr>
              <w:lastRenderedPageBreak/>
              <w:t>推</w:t>
            </w:r>
          </w:p>
          <w:p w:rsidR="00423CC7" w:rsidRPr="00D72129" w:rsidRDefault="00423CC7" w:rsidP="00423CC7">
            <w:pPr>
              <w:pStyle w:val="m14"/>
              <w:jc w:val="center"/>
            </w:pPr>
            <w:r w:rsidRPr="00D72129">
              <w:rPr>
                <w:rFonts w:hint="eastAsia"/>
              </w:rPr>
              <w:t>荐</w:t>
            </w:r>
          </w:p>
          <w:p w:rsidR="00423CC7" w:rsidRPr="00D72129" w:rsidRDefault="00423CC7" w:rsidP="00423CC7">
            <w:pPr>
              <w:pStyle w:val="m14"/>
              <w:jc w:val="center"/>
            </w:pPr>
            <w:r w:rsidRPr="00D72129">
              <w:rPr>
                <w:rFonts w:hint="eastAsia"/>
              </w:rPr>
              <w:t>意</w:t>
            </w:r>
          </w:p>
          <w:p w:rsidR="00423CC7" w:rsidRPr="00D72129" w:rsidRDefault="00423CC7" w:rsidP="00423CC7">
            <w:pPr>
              <w:pStyle w:val="m14"/>
              <w:jc w:val="center"/>
            </w:pPr>
            <w:r w:rsidRPr="00D72129">
              <w:rPr>
                <w:rFonts w:hint="eastAsia"/>
              </w:rPr>
              <w:t>见</w:t>
            </w:r>
          </w:p>
        </w:tc>
        <w:tc>
          <w:tcPr>
            <w:tcW w:w="7977" w:type="dxa"/>
            <w:gridSpan w:val="10"/>
            <w:tcBorders>
              <w:top w:val="single" w:sz="4" w:space="0" w:color="auto"/>
              <w:left w:val="single" w:sz="4" w:space="0" w:color="auto"/>
              <w:bottom w:val="single" w:sz="4" w:space="0" w:color="auto"/>
              <w:right w:val="single" w:sz="4" w:space="0" w:color="auto"/>
            </w:tcBorders>
            <w:vAlign w:val="center"/>
          </w:tcPr>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Default="00423CC7" w:rsidP="00423CC7">
            <w:pPr>
              <w:pStyle w:val="m14"/>
            </w:pPr>
          </w:p>
          <w:p w:rsidR="00423CC7" w:rsidRPr="00D72129" w:rsidRDefault="00423CC7" w:rsidP="00423CC7">
            <w:pPr>
              <w:pStyle w:val="m14"/>
            </w:pPr>
          </w:p>
          <w:p w:rsidR="00423CC7" w:rsidRPr="00D72129" w:rsidRDefault="00423CC7" w:rsidP="00423CC7">
            <w:pPr>
              <w:pStyle w:val="m14"/>
              <w:ind w:firstLineChars="2200" w:firstLine="4620"/>
            </w:pPr>
            <w:r w:rsidRPr="00D72129">
              <w:rPr>
                <w:rFonts w:hint="eastAsia"/>
              </w:rPr>
              <w:t>推荐单位盖章</w:t>
            </w:r>
          </w:p>
          <w:p w:rsidR="00423CC7" w:rsidRPr="00D72129" w:rsidRDefault="00423CC7" w:rsidP="00423CC7">
            <w:pPr>
              <w:pStyle w:val="m14"/>
            </w:pPr>
          </w:p>
          <w:p w:rsidR="00423CC7" w:rsidRPr="00D72129" w:rsidRDefault="00423CC7" w:rsidP="00423CC7">
            <w:pPr>
              <w:pStyle w:val="m14"/>
              <w:ind w:firstLineChars="2400" w:firstLine="5040"/>
            </w:pPr>
            <w:r w:rsidRPr="00D72129">
              <w:rPr>
                <w:rFonts w:hint="eastAsia"/>
              </w:rPr>
              <w:t>年    月   日</w:t>
            </w:r>
          </w:p>
          <w:p w:rsidR="00423CC7" w:rsidRPr="00D72129" w:rsidRDefault="00423CC7" w:rsidP="00423CC7">
            <w:pPr>
              <w:pStyle w:val="m14"/>
            </w:pPr>
          </w:p>
        </w:tc>
      </w:tr>
    </w:tbl>
    <w:p w:rsidR="00423CC7" w:rsidRPr="00423CC7" w:rsidRDefault="00423CC7" w:rsidP="00423CC7">
      <w:pPr>
        <w:pStyle w:val="m"/>
        <w:ind w:firstLineChars="0" w:firstLine="0"/>
      </w:pPr>
    </w:p>
    <w:sectPr w:rsidR="00423CC7" w:rsidRPr="00423CC7" w:rsidSect="00BC356A">
      <w:pgSz w:w="11906" w:h="16838" w:code="9"/>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F8" w:rsidRDefault="00D214F8" w:rsidP="009C39BF">
      <w:r>
        <w:separator/>
      </w:r>
    </w:p>
  </w:endnote>
  <w:endnote w:type="continuationSeparator" w:id="0">
    <w:p w:rsidR="00D214F8" w:rsidRDefault="00D214F8" w:rsidP="009C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268209"/>
      <w:docPartObj>
        <w:docPartGallery w:val="Page Numbers (Bottom of Page)"/>
        <w:docPartUnique/>
      </w:docPartObj>
    </w:sdtPr>
    <w:sdtEndPr/>
    <w:sdtContent>
      <w:p w:rsidR="00BC356A" w:rsidRDefault="00BC356A">
        <w:pPr>
          <w:pStyle w:val="a7"/>
          <w:jc w:val="center"/>
        </w:pPr>
        <w:r>
          <w:fldChar w:fldCharType="begin"/>
        </w:r>
        <w:r>
          <w:instrText>PAGE   \* MERGEFORMAT</w:instrText>
        </w:r>
        <w:r>
          <w:fldChar w:fldCharType="separate"/>
        </w:r>
        <w:r w:rsidR="00542BE0" w:rsidRPr="00542BE0">
          <w:rPr>
            <w:noProof/>
            <w:lang w:val="zh-CN"/>
          </w:rPr>
          <w:t>2</w:t>
        </w:r>
        <w:r>
          <w:fldChar w:fldCharType="end"/>
        </w:r>
      </w:p>
    </w:sdtContent>
  </w:sdt>
  <w:p w:rsidR="00BC356A" w:rsidRDefault="00BC356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F8" w:rsidRDefault="00D214F8" w:rsidP="009C39BF">
      <w:r>
        <w:separator/>
      </w:r>
    </w:p>
  </w:footnote>
  <w:footnote w:type="continuationSeparator" w:id="0">
    <w:p w:rsidR="00D214F8" w:rsidRDefault="00D214F8" w:rsidP="009C3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F8"/>
    <w:rsid w:val="0005042D"/>
    <w:rsid w:val="00144BBE"/>
    <w:rsid w:val="00184D04"/>
    <w:rsid w:val="001D1416"/>
    <w:rsid w:val="002443ED"/>
    <w:rsid w:val="00263E44"/>
    <w:rsid w:val="002A0C8D"/>
    <w:rsid w:val="00423CC7"/>
    <w:rsid w:val="005068FB"/>
    <w:rsid w:val="00542BE0"/>
    <w:rsid w:val="006A1F72"/>
    <w:rsid w:val="007167C5"/>
    <w:rsid w:val="0072158A"/>
    <w:rsid w:val="0089691C"/>
    <w:rsid w:val="00981951"/>
    <w:rsid w:val="009849DC"/>
    <w:rsid w:val="009B7211"/>
    <w:rsid w:val="009C39BF"/>
    <w:rsid w:val="00A219E8"/>
    <w:rsid w:val="00B90DB9"/>
    <w:rsid w:val="00B91DC3"/>
    <w:rsid w:val="00B96606"/>
    <w:rsid w:val="00BC356A"/>
    <w:rsid w:val="00D214F8"/>
    <w:rsid w:val="00D27874"/>
    <w:rsid w:val="00D379DF"/>
    <w:rsid w:val="00E108D5"/>
    <w:rsid w:val="00F662A5"/>
    <w:rsid w:val="00F9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14:docId w14:val="10AC6F6C"/>
  <w15:chartTrackingRefBased/>
  <w15:docId w15:val="{42CBC62E-F2CF-4FE0-8343-B2D65FB6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8"/>
    <w:rsid w:val="002A0C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
    <w:name w:val="m_正文"/>
    <w:basedOn w:val="a"/>
    <w:link w:val="m0"/>
    <w:qFormat/>
    <w:rsid w:val="00D27874"/>
    <w:pPr>
      <w:spacing w:line="560" w:lineRule="exact"/>
      <w:ind w:firstLineChars="200" w:firstLine="640"/>
    </w:pPr>
    <w:rPr>
      <w:rFonts w:ascii="仿宋_GB2312" w:eastAsia="仿宋_GB2312"/>
      <w:sz w:val="32"/>
      <w:szCs w:val="32"/>
    </w:rPr>
  </w:style>
  <w:style w:type="paragraph" w:customStyle="1" w:styleId="m1">
    <w:name w:val="m_标题"/>
    <w:basedOn w:val="a"/>
    <w:next w:val="m"/>
    <w:link w:val="m2"/>
    <w:uiPriority w:val="5"/>
    <w:qFormat/>
    <w:rsid w:val="002A0C8D"/>
    <w:pPr>
      <w:spacing w:line="560" w:lineRule="exact"/>
      <w:jc w:val="center"/>
    </w:pPr>
    <w:rPr>
      <w:rFonts w:ascii="方正小标宋简体" w:eastAsia="方正小标宋简体"/>
      <w:sz w:val="36"/>
      <w:szCs w:val="44"/>
    </w:rPr>
  </w:style>
  <w:style w:type="character" w:customStyle="1" w:styleId="m0">
    <w:name w:val="m_正文 字符"/>
    <w:basedOn w:val="a0"/>
    <w:link w:val="m"/>
    <w:rsid w:val="00D27874"/>
    <w:rPr>
      <w:rFonts w:ascii="仿宋_GB2312" w:eastAsia="仿宋_GB2312" w:hAnsi="Times New Roman" w:cs="Times New Roman"/>
      <w:sz w:val="32"/>
      <w:szCs w:val="32"/>
    </w:rPr>
  </w:style>
  <w:style w:type="paragraph" w:customStyle="1" w:styleId="m10">
    <w:name w:val="m_1级"/>
    <w:basedOn w:val="a"/>
    <w:next w:val="m"/>
    <w:link w:val="m11"/>
    <w:uiPriority w:val="1"/>
    <w:qFormat/>
    <w:rsid w:val="009C39BF"/>
    <w:pPr>
      <w:spacing w:line="560" w:lineRule="exact"/>
      <w:ind w:firstLineChars="200" w:firstLine="200"/>
      <w:jc w:val="left"/>
      <w:outlineLvl w:val="0"/>
    </w:pPr>
    <w:rPr>
      <w:rFonts w:ascii="黑体" w:eastAsia="黑体" w:hAnsi="黑体"/>
      <w:sz w:val="32"/>
      <w:szCs w:val="32"/>
    </w:rPr>
  </w:style>
  <w:style w:type="character" w:customStyle="1" w:styleId="m2">
    <w:name w:val="m_标题 字符"/>
    <w:basedOn w:val="a0"/>
    <w:link w:val="m1"/>
    <w:uiPriority w:val="5"/>
    <w:rsid w:val="002A0C8D"/>
    <w:rPr>
      <w:rFonts w:ascii="方正小标宋简体" w:eastAsia="方正小标宋简体" w:hAnsi="Times New Roman" w:cs="Times New Roman"/>
      <w:sz w:val="36"/>
      <w:szCs w:val="44"/>
    </w:rPr>
  </w:style>
  <w:style w:type="paragraph" w:customStyle="1" w:styleId="m20">
    <w:name w:val="m_2级"/>
    <w:basedOn w:val="a"/>
    <w:next w:val="m"/>
    <w:link w:val="m21"/>
    <w:uiPriority w:val="2"/>
    <w:qFormat/>
    <w:rsid w:val="009C39BF"/>
    <w:pPr>
      <w:spacing w:line="560" w:lineRule="exact"/>
      <w:ind w:firstLineChars="200" w:firstLine="640"/>
      <w:jc w:val="left"/>
      <w:outlineLvl w:val="1"/>
    </w:pPr>
    <w:rPr>
      <w:rFonts w:ascii="楷体_GB2312" w:eastAsia="楷体_GB2312"/>
      <w:sz w:val="32"/>
      <w:szCs w:val="32"/>
    </w:rPr>
  </w:style>
  <w:style w:type="character" w:customStyle="1" w:styleId="m11">
    <w:name w:val="m_1级 字符"/>
    <w:basedOn w:val="a0"/>
    <w:link w:val="m10"/>
    <w:uiPriority w:val="1"/>
    <w:rsid w:val="002A0C8D"/>
    <w:rPr>
      <w:rFonts w:ascii="黑体" w:eastAsia="黑体" w:hAnsi="黑体" w:cs="Times New Roman"/>
      <w:sz w:val="32"/>
      <w:szCs w:val="32"/>
    </w:rPr>
  </w:style>
  <w:style w:type="paragraph" w:customStyle="1" w:styleId="m3">
    <w:name w:val="m_3级"/>
    <w:basedOn w:val="a"/>
    <w:next w:val="m"/>
    <w:link w:val="m30"/>
    <w:uiPriority w:val="3"/>
    <w:qFormat/>
    <w:rsid w:val="00D27874"/>
    <w:pPr>
      <w:spacing w:line="560" w:lineRule="exact"/>
      <w:ind w:firstLineChars="200" w:firstLine="200"/>
      <w:jc w:val="left"/>
      <w:outlineLvl w:val="2"/>
    </w:pPr>
    <w:rPr>
      <w:rFonts w:ascii="仿宋_GB2312" w:eastAsia="仿宋_GB2312"/>
      <w:b/>
      <w:sz w:val="32"/>
      <w:szCs w:val="32"/>
    </w:rPr>
  </w:style>
  <w:style w:type="character" w:customStyle="1" w:styleId="m21">
    <w:name w:val="m_2级 字符"/>
    <w:basedOn w:val="a0"/>
    <w:link w:val="m20"/>
    <w:uiPriority w:val="2"/>
    <w:rsid w:val="002A0C8D"/>
    <w:rPr>
      <w:rFonts w:ascii="楷体_GB2312" w:eastAsia="楷体_GB2312" w:hAnsi="Times New Roman" w:cs="Times New Roman"/>
      <w:sz w:val="32"/>
      <w:szCs w:val="32"/>
    </w:rPr>
  </w:style>
  <w:style w:type="paragraph" w:customStyle="1" w:styleId="m4">
    <w:name w:val="m_4级"/>
    <w:basedOn w:val="a"/>
    <w:next w:val="m"/>
    <w:link w:val="m40"/>
    <w:uiPriority w:val="4"/>
    <w:qFormat/>
    <w:rsid w:val="009C39BF"/>
    <w:pPr>
      <w:spacing w:line="560" w:lineRule="exact"/>
      <w:ind w:firstLineChars="200" w:firstLine="640"/>
      <w:jc w:val="left"/>
      <w:outlineLvl w:val="3"/>
    </w:pPr>
    <w:rPr>
      <w:rFonts w:ascii="仿宋_GB2312" w:eastAsia="仿宋_GB2312"/>
      <w:sz w:val="32"/>
      <w:szCs w:val="32"/>
    </w:rPr>
  </w:style>
  <w:style w:type="character" w:customStyle="1" w:styleId="m30">
    <w:name w:val="m_3级 字符"/>
    <w:basedOn w:val="a0"/>
    <w:link w:val="m3"/>
    <w:uiPriority w:val="3"/>
    <w:rsid w:val="002A0C8D"/>
    <w:rPr>
      <w:rFonts w:ascii="仿宋_GB2312" w:eastAsia="仿宋_GB2312" w:hAnsi="Times New Roman" w:cs="Times New Roman"/>
      <w:b/>
      <w:sz w:val="32"/>
      <w:szCs w:val="32"/>
    </w:rPr>
  </w:style>
  <w:style w:type="paragraph" w:customStyle="1" w:styleId="m5">
    <w:name w:val="m_文号"/>
    <w:basedOn w:val="a"/>
    <w:next w:val="m"/>
    <w:link w:val="m6"/>
    <w:uiPriority w:val="8"/>
    <w:qFormat/>
    <w:rsid w:val="009C39BF"/>
    <w:pPr>
      <w:spacing w:line="560" w:lineRule="exact"/>
      <w:ind w:firstLineChars="200" w:firstLine="640"/>
      <w:jc w:val="right"/>
    </w:pPr>
    <w:rPr>
      <w:rFonts w:ascii="仿宋_GB2312" w:eastAsia="仿宋_GB2312"/>
      <w:sz w:val="32"/>
      <w:szCs w:val="32"/>
    </w:rPr>
  </w:style>
  <w:style w:type="character" w:customStyle="1" w:styleId="m40">
    <w:name w:val="m_4级 字符"/>
    <w:basedOn w:val="a0"/>
    <w:link w:val="m4"/>
    <w:uiPriority w:val="4"/>
    <w:rsid w:val="002A0C8D"/>
    <w:rPr>
      <w:rFonts w:ascii="仿宋_GB2312" w:eastAsia="仿宋_GB2312" w:hAnsi="Times New Roman" w:cs="Times New Roman"/>
      <w:sz w:val="32"/>
      <w:szCs w:val="32"/>
    </w:rPr>
  </w:style>
  <w:style w:type="character" w:customStyle="1" w:styleId="m6">
    <w:name w:val="m_文号 字符"/>
    <w:basedOn w:val="a0"/>
    <w:link w:val="m5"/>
    <w:uiPriority w:val="8"/>
    <w:rsid w:val="002A0C8D"/>
    <w:rPr>
      <w:rFonts w:ascii="仿宋_GB2312" w:eastAsia="仿宋_GB2312" w:hAnsi="Times New Roman" w:cs="Times New Roman"/>
      <w:sz w:val="32"/>
      <w:szCs w:val="32"/>
    </w:rPr>
  </w:style>
  <w:style w:type="paragraph" w:styleId="a3">
    <w:name w:val="Body Text Indent"/>
    <w:basedOn w:val="a"/>
    <w:link w:val="a4"/>
    <w:uiPriority w:val="99"/>
    <w:semiHidden/>
    <w:unhideWhenUsed/>
    <w:rsid w:val="005068FB"/>
    <w:pPr>
      <w:spacing w:after="120"/>
      <w:ind w:leftChars="200" w:left="420"/>
    </w:pPr>
    <w:rPr>
      <w:rFonts w:asciiTheme="minorHAnsi" w:eastAsiaTheme="minorEastAsia" w:hAnsiTheme="minorHAnsi" w:cstheme="minorBidi"/>
      <w:szCs w:val="21"/>
    </w:rPr>
  </w:style>
  <w:style w:type="character" w:customStyle="1" w:styleId="a4">
    <w:name w:val="正文文本缩进 字符"/>
    <w:basedOn w:val="a0"/>
    <w:link w:val="a3"/>
    <w:uiPriority w:val="99"/>
    <w:semiHidden/>
    <w:rsid w:val="005068FB"/>
  </w:style>
  <w:style w:type="paragraph" w:styleId="a5">
    <w:name w:val="header"/>
    <w:basedOn w:val="a"/>
    <w:link w:val="a6"/>
    <w:uiPriority w:val="99"/>
    <w:unhideWhenUsed/>
    <w:rsid w:val="009C39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sid w:val="009C39BF"/>
    <w:rPr>
      <w:sz w:val="18"/>
      <w:szCs w:val="18"/>
    </w:rPr>
  </w:style>
  <w:style w:type="paragraph" w:styleId="a7">
    <w:name w:val="footer"/>
    <w:basedOn w:val="a"/>
    <w:link w:val="a8"/>
    <w:uiPriority w:val="99"/>
    <w:unhideWhenUsed/>
    <w:rsid w:val="009C39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8">
    <w:name w:val="页脚 字符"/>
    <w:basedOn w:val="a0"/>
    <w:link w:val="a7"/>
    <w:uiPriority w:val="99"/>
    <w:rsid w:val="009C39BF"/>
    <w:rPr>
      <w:sz w:val="18"/>
      <w:szCs w:val="18"/>
    </w:rPr>
  </w:style>
  <w:style w:type="character" w:customStyle="1" w:styleId="m7">
    <w:name w:val="m_大标题 字符"/>
    <w:basedOn w:val="a0"/>
    <w:link w:val="m8"/>
    <w:uiPriority w:val="8"/>
    <w:locked/>
    <w:rsid w:val="002A0C8D"/>
    <w:rPr>
      <w:rFonts w:asciiTheme="majorEastAsia" w:eastAsiaTheme="majorEastAsia" w:hAnsiTheme="majorEastAsia" w:cs="宋体"/>
      <w:b/>
      <w:kern w:val="0"/>
      <w:sz w:val="56"/>
      <w:szCs w:val="52"/>
      <w:shd w:val="clear" w:color="auto" w:fill="FFFFFF"/>
    </w:rPr>
  </w:style>
  <w:style w:type="paragraph" w:customStyle="1" w:styleId="m8">
    <w:name w:val="m_大标题"/>
    <w:basedOn w:val="a"/>
    <w:next w:val="a"/>
    <w:link w:val="m7"/>
    <w:uiPriority w:val="8"/>
    <w:qFormat/>
    <w:rsid w:val="00A219E8"/>
    <w:pPr>
      <w:widowControl/>
      <w:shd w:val="clear" w:color="auto" w:fill="FFFFFF"/>
      <w:spacing w:line="480" w:lineRule="auto"/>
      <w:jc w:val="center"/>
      <w:outlineLvl w:val="0"/>
    </w:pPr>
    <w:rPr>
      <w:rFonts w:asciiTheme="majorEastAsia" w:eastAsiaTheme="majorEastAsia" w:hAnsiTheme="majorEastAsia" w:cs="宋体"/>
      <w:b/>
      <w:kern w:val="0"/>
      <w:sz w:val="56"/>
      <w:szCs w:val="52"/>
    </w:rPr>
  </w:style>
  <w:style w:type="paragraph" w:styleId="a9">
    <w:name w:val="List Paragraph"/>
    <w:basedOn w:val="a"/>
    <w:uiPriority w:val="34"/>
    <w:rsid w:val="00E108D5"/>
    <w:pPr>
      <w:ind w:firstLineChars="200" w:firstLine="420"/>
    </w:pPr>
  </w:style>
  <w:style w:type="paragraph" w:customStyle="1" w:styleId="m12">
    <w:name w:val="m_无级封1"/>
    <w:basedOn w:val="m8"/>
    <w:link w:val="m13"/>
    <w:uiPriority w:val="8"/>
    <w:qFormat/>
    <w:rsid w:val="0005042D"/>
    <w:pPr>
      <w:outlineLvl w:val="9"/>
    </w:pPr>
  </w:style>
  <w:style w:type="character" w:customStyle="1" w:styleId="m13">
    <w:name w:val="m_无级封1 字符"/>
    <w:basedOn w:val="m7"/>
    <w:link w:val="m12"/>
    <w:uiPriority w:val="8"/>
    <w:rsid w:val="002A0C8D"/>
    <w:rPr>
      <w:rFonts w:asciiTheme="majorEastAsia" w:eastAsiaTheme="majorEastAsia" w:hAnsiTheme="majorEastAsia" w:cs="宋体"/>
      <w:b/>
      <w:kern w:val="0"/>
      <w:sz w:val="56"/>
      <w:szCs w:val="52"/>
      <w:shd w:val="clear" w:color="auto" w:fill="FFFFFF"/>
    </w:rPr>
  </w:style>
  <w:style w:type="paragraph" w:customStyle="1" w:styleId="m9">
    <w:name w:val="m_隐藏"/>
    <w:basedOn w:val="m"/>
    <w:next w:val="m"/>
    <w:link w:val="ma"/>
    <w:uiPriority w:val="8"/>
    <w:qFormat/>
    <w:rsid w:val="0005042D"/>
    <w:rPr>
      <w:color w:val="FFFFFF" w:themeColor="background1"/>
    </w:rPr>
  </w:style>
  <w:style w:type="character" w:customStyle="1" w:styleId="ma">
    <w:name w:val="m_隐藏 字符"/>
    <w:basedOn w:val="m0"/>
    <w:link w:val="m9"/>
    <w:uiPriority w:val="8"/>
    <w:rsid w:val="002A0C8D"/>
    <w:rPr>
      <w:rFonts w:ascii="仿宋_GB2312" w:eastAsia="仿宋_GB2312" w:hAnsi="Times New Roman" w:cs="Times New Roman"/>
      <w:color w:val="FFFFFF" w:themeColor="background1"/>
      <w:sz w:val="32"/>
      <w:szCs w:val="32"/>
    </w:rPr>
  </w:style>
  <w:style w:type="paragraph" w:customStyle="1" w:styleId="mb">
    <w:name w:val="m_表图注"/>
    <w:basedOn w:val="a"/>
    <w:next w:val="m"/>
    <w:link w:val="mc"/>
    <w:uiPriority w:val="7"/>
    <w:qFormat/>
    <w:rsid w:val="00D27874"/>
    <w:pPr>
      <w:spacing w:line="560" w:lineRule="exact"/>
      <w:jc w:val="center"/>
      <w:outlineLvl w:val="4"/>
    </w:pPr>
    <w:rPr>
      <w:rFonts w:ascii="仿宋" w:eastAsia="仿宋" w:hAnsi="仿宋"/>
      <w:b/>
      <w:sz w:val="24"/>
      <w:szCs w:val="28"/>
    </w:rPr>
  </w:style>
  <w:style w:type="character" w:customStyle="1" w:styleId="mc">
    <w:name w:val="m_表图注 字符"/>
    <w:basedOn w:val="a0"/>
    <w:link w:val="mb"/>
    <w:uiPriority w:val="7"/>
    <w:rsid w:val="002A0C8D"/>
    <w:rPr>
      <w:rFonts w:ascii="仿宋" w:eastAsia="仿宋" w:hAnsi="仿宋" w:cs="Times New Roman"/>
      <w:b/>
      <w:sz w:val="24"/>
      <w:szCs w:val="28"/>
    </w:rPr>
  </w:style>
  <w:style w:type="paragraph" w:customStyle="1" w:styleId="m14">
    <w:name w:val="m_表格正文1"/>
    <w:basedOn w:val="a"/>
    <w:link w:val="m15"/>
    <w:uiPriority w:val="6"/>
    <w:qFormat/>
    <w:rsid w:val="00D27874"/>
    <w:rPr>
      <w:rFonts w:ascii="仿宋" w:eastAsia="仿宋" w:hAnsi="仿宋"/>
      <w:position w:val="6"/>
      <w:szCs w:val="21"/>
    </w:rPr>
  </w:style>
  <w:style w:type="character" w:customStyle="1" w:styleId="m15">
    <w:name w:val="m_表格正文1 字符"/>
    <w:basedOn w:val="a0"/>
    <w:link w:val="m14"/>
    <w:uiPriority w:val="6"/>
    <w:rsid w:val="002A0C8D"/>
    <w:rPr>
      <w:rFonts w:ascii="仿宋" w:eastAsia="仿宋" w:hAnsi="仿宋" w:cs="Times New Roman"/>
      <w:position w:val="6"/>
    </w:rPr>
  </w:style>
  <w:style w:type="paragraph" w:customStyle="1" w:styleId="md">
    <w:name w:val="m_注解"/>
    <w:basedOn w:val="a"/>
    <w:next w:val="m"/>
    <w:link w:val="me"/>
    <w:uiPriority w:val="10"/>
    <w:qFormat/>
    <w:rsid w:val="002443ED"/>
    <w:pPr>
      <w:ind w:firstLineChars="200" w:firstLine="480"/>
    </w:pPr>
    <w:rPr>
      <w:rFonts w:ascii="仿宋" w:eastAsia="仿宋" w:hAnsi="仿宋"/>
      <w:sz w:val="24"/>
    </w:rPr>
  </w:style>
  <w:style w:type="character" w:customStyle="1" w:styleId="me">
    <w:name w:val="m_注解 字符"/>
    <w:basedOn w:val="a0"/>
    <w:link w:val="md"/>
    <w:uiPriority w:val="10"/>
    <w:rsid w:val="002A0C8D"/>
    <w:rPr>
      <w:rFonts w:ascii="仿宋" w:eastAsia="仿宋" w:hAnsi="仿宋" w:cs="Times New Roman"/>
      <w:sz w:val="24"/>
      <w:szCs w:val="24"/>
    </w:rPr>
  </w:style>
  <w:style w:type="character" w:styleId="aa">
    <w:name w:val="Hyperlink"/>
    <w:basedOn w:val="a0"/>
    <w:uiPriority w:val="99"/>
    <w:unhideWhenUsed/>
    <w:rsid w:val="00D214F8"/>
    <w:rPr>
      <w:color w:val="0563C1" w:themeColor="hyperlink"/>
      <w:u w:val="single"/>
    </w:rPr>
  </w:style>
  <w:style w:type="character" w:styleId="ab">
    <w:name w:val="annotation reference"/>
    <w:basedOn w:val="a0"/>
    <w:uiPriority w:val="99"/>
    <w:semiHidden/>
    <w:unhideWhenUsed/>
    <w:rsid w:val="00423CC7"/>
    <w:rPr>
      <w:sz w:val="21"/>
      <w:szCs w:val="21"/>
    </w:rPr>
  </w:style>
  <w:style w:type="paragraph" w:styleId="ac">
    <w:name w:val="annotation text"/>
    <w:basedOn w:val="a"/>
    <w:link w:val="ad"/>
    <w:uiPriority w:val="99"/>
    <w:semiHidden/>
    <w:unhideWhenUsed/>
    <w:rsid w:val="00423CC7"/>
    <w:pPr>
      <w:jc w:val="left"/>
    </w:pPr>
  </w:style>
  <w:style w:type="character" w:customStyle="1" w:styleId="ad">
    <w:name w:val="批注文字 字符"/>
    <w:basedOn w:val="a0"/>
    <w:link w:val="ac"/>
    <w:uiPriority w:val="99"/>
    <w:semiHidden/>
    <w:rsid w:val="00423CC7"/>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423CC7"/>
    <w:rPr>
      <w:b/>
      <w:bCs/>
    </w:rPr>
  </w:style>
  <w:style w:type="character" w:customStyle="1" w:styleId="af">
    <w:name w:val="批注主题 字符"/>
    <w:basedOn w:val="ad"/>
    <w:link w:val="ae"/>
    <w:uiPriority w:val="99"/>
    <w:semiHidden/>
    <w:rsid w:val="00423CC7"/>
    <w:rPr>
      <w:rFonts w:ascii="Times New Roman" w:eastAsia="宋体" w:hAnsi="Times New Roman" w:cs="Times New Roman"/>
      <w:b/>
      <w:bCs/>
      <w:szCs w:val="24"/>
    </w:rPr>
  </w:style>
  <w:style w:type="paragraph" w:styleId="af0">
    <w:name w:val="Balloon Text"/>
    <w:basedOn w:val="a"/>
    <w:link w:val="af1"/>
    <w:uiPriority w:val="99"/>
    <w:semiHidden/>
    <w:unhideWhenUsed/>
    <w:rsid w:val="00423CC7"/>
    <w:rPr>
      <w:sz w:val="18"/>
      <w:szCs w:val="18"/>
    </w:rPr>
  </w:style>
  <w:style w:type="character" w:customStyle="1" w:styleId="af1">
    <w:name w:val="批注框文本 字符"/>
    <w:basedOn w:val="a0"/>
    <w:link w:val="af0"/>
    <w:uiPriority w:val="99"/>
    <w:semiHidden/>
    <w:rsid w:val="00423CC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iyu\Documents\&#33258;&#23450;&#20041;%20Office%20&#27169;&#26495;\mo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moe</Template>
  <TotalTime>26</TotalTime>
  <Pages>11</Pages>
  <Words>893</Words>
  <Characters>5095</Characters>
  <Application>Microsoft Office Word</Application>
  <DocSecurity>0</DocSecurity>
  <Lines>42</Lines>
  <Paragraphs>11</Paragraphs>
  <ScaleCrop>false</ScaleCrop>
  <Company>Drupal Studio</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郑智源</dc:creator>
  <cp:keywords/>
  <dc:description/>
  <cp:lastModifiedBy>郑智源</cp:lastModifiedBy>
  <cp:revision>4</cp:revision>
  <dcterms:created xsi:type="dcterms:W3CDTF">2017-09-20T07:39:00Z</dcterms:created>
  <dcterms:modified xsi:type="dcterms:W3CDTF">2017-09-20T08:54:00Z</dcterms:modified>
</cp:coreProperties>
</file>